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123F03FF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 xml:space="preserve">OWA PROJEKTU </w:t>
      </w:r>
      <w:r w:rsidR="00197A51">
        <w:rPr>
          <w:rFonts w:ascii="Tahoma" w:hAnsi="Tahoma" w:cs="Tahoma"/>
          <w:b/>
          <w:bCs/>
          <w:sz w:val="24"/>
          <w:szCs w:val="24"/>
          <w:lang w:val="de-DE"/>
        </w:rPr>
        <w:t>TECHNICZNEGO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4470DC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4470DC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4470DC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4470DC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4470DC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20AAF67D" w:rsidR="007F511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2EB06F20" w14:textId="77777777" w:rsidR="00CB7F16" w:rsidRDefault="00CB7F16" w:rsidP="00F161C0">
      <w:pPr>
        <w:jc w:val="center"/>
        <w:rPr>
          <w:rFonts w:ascii="Tahoma" w:hAnsi="Tahoma" w:cs="Tahoma"/>
          <w:b/>
          <w:bCs/>
          <w:lang w:val="pl-PL"/>
        </w:rPr>
      </w:pPr>
    </w:p>
    <w:p w14:paraId="59BEE28A" w14:textId="137FF396" w:rsidR="00CB7F16" w:rsidRPr="009E59D4" w:rsidRDefault="00CB7F16" w:rsidP="00F161C0">
      <w:pPr>
        <w:jc w:val="center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TOM IA - PZT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4470DC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2BD5A4FF" w:rsidR="00C23A38" w:rsidRPr="00643AED" w:rsidRDefault="00A70D7D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MOD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29F569D6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535F8F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535F8F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4470DC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A70D7D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A70D7D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4470DC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4470DC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4470DC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4470DC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812CA8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837947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5371541A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1382A102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3CD69599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23E8747A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69ECA5B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1D78BC36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11C24C1E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18BD248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47D65F17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65B05A5F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2C3752A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72CEED5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6C9EAA9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6B143B9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59E4B72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15CBDB9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4EC800D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1F51AD0A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04ECBA16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36CAD35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11400B9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5D170D3F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1406192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2DDAA80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58832225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5894C1A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142F538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30592AB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19833A02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0715D1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20A92AF6" w:rsidR="007F5114" w:rsidRPr="00643AED" w:rsidRDefault="00A70D7D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="00197A51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>W związku z art. 33 ust. 2 pkt 10 Ustawy z dnia 7 lipca 1994 r. Prawo budowlane (Dz. U. z 2019 r. poz. 1186 z późn.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>do istniejącej sieci ciepłowniczej, zgodnie z warunkami określonymi w art. 7b ustawy z dnia 10 kwietnia 1997 r. – Prawo energetyczne (Dz. U. z 2019 r. poz. 755, z późn.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pt</w:t>
      </w:r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A70D7D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r w:rsidRPr="00643AED">
        <w:rPr>
          <w:rFonts w:ascii="Tahoma" w:hAnsi="Tahoma" w:cs="Tahoma"/>
          <w:color w:val="auto"/>
          <w:sz w:val="20"/>
          <w:szCs w:val="20"/>
        </w:rPr>
        <w:t>Opis terenu</w:t>
      </w:r>
      <w:bookmarkEnd w:id="28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A70D7D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A70D7D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Ochrona dóbr kultury</w:t>
      </w:r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A70D7D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A70D7D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odprowadzenia ścieków</w:t>
      </w:r>
      <w:bookmarkEnd w:id="33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r>
        <w:rPr>
          <w:rFonts w:ascii="Tahoma" w:hAnsi="Tahoma" w:cs="Tahoma"/>
          <w:color w:val="auto"/>
          <w:sz w:val="20"/>
          <w:szCs w:val="20"/>
        </w:rPr>
        <w:t xml:space="preserve">Układ </w:t>
      </w:r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dostępu do drogi publicznej</w:t>
      </w:r>
      <w:bookmarkEnd w:id="35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A70D7D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Paramatery techniczne sieci I urządzeń uzbrojenia terenu</w:t>
      </w:r>
      <w:bookmarkEnd w:id="36"/>
    </w:p>
    <w:p w14:paraId="2361DBBA" w14:textId="3CE852DD" w:rsidR="002464F1" w:rsidRPr="00A70D7D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A70D7D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.b. </w:t>
      </w:r>
      <w:r w:rsidR="00D202B7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C420F8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A70D7D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A70D7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A70D7D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 terenu i układ zieleni</w:t>
      </w:r>
      <w:bookmarkEnd w:id="37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ukształtowanie terenu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istniejąca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projektowana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>Dane podstawowe</w:t>
      </w:r>
      <w:bookmarkEnd w:id="40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93EFB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393EFB" w:rsidRPr="00643AED" w:rsidRDefault="00393EFB" w:rsidP="00193278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4E198228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58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33BD0E7B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393EFB" w:rsidRPr="00643AED" w:rsidRDefault="00393EFB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50C71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C50C71" w:rsidRPr="00643AED" w:rsidRDefault="00C50C7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C50C71" w:rsidRPr="00643AED" w:rsidRDefault="00C50C7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280E668A" w:rsidR="00C50C71" w:rsidRPr="00643AED" w:rsidRDefault="005C03E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C50C7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4F4D9B"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C50C71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C50C71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4D4C1C36" w:rsidR="00C50C71" w:rsidRPr="00643AED" w:rsidRDefault="00393EFB" w:rsidP="00B2031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19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C50C71" w:rsidRPr="00643AED" w:rsidRDefault="00C50C7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B20311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0A739C70" w:rsidR="00B20311" w:rsidRPr="00643AED" w:rsidRDefault="005F787E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="00B20311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4AE00560" w:rsidR="00B20311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B20311">
              <w:rPr>
                <w:rFonts w:ascii="Tahoma" w:hAnsi="Tahoma" w:cs="Tahoma"/>
                <w:color w:val="auto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B20311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311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0311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B20311" w:rsidRPr="00643AED" w:rsidRDefault="00B20311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2EE4C10F" w:rsidR="00B20311" w:rsidRPr="00643AED" w:rsidRDefault="005F787E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50,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="00393EFB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="00393EFB"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 w:rsidR="00393EFB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B20311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B20311" w:rsidRPr="00643AED" w:rsidRDefault="00B20311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65DAA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obszar wyłączony z prod. leśnej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300A3E73" w:rsidR="00C65DAA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C65DAA"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3EDB0DF1" w:rsidR="00C65DAA" w:rsidRPr="00643AED" w:rsidRDefault="00B20311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93EFB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393EFB" w:rsidRPr="00643AED" w:rsidRDefault="00393EF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6A01778F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38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325BD63C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393EFB" w:rsidRPr="00643AED" w:rsidRDefault="00393EFB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140B9454" w14:textId="77777777" w:rsidTr="00863A8C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60B22853" w:rsidR="00C65DAA" w:rsidRPr="00643AED" w:rsidRDefault="00C7001D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B17A" w14:textId="68E5942A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AA" w:rsidRPr="00643AED" w14:paraId="0E939B8F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531" w14:textId="4A71F4A3" w:rsidR="00C65DAA" w:rsidRPr="00643AED" w:rsidRDefault="00C65DAA" w:rsidP="0019327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C65DAA" w:rsidRPr="004470DC" w14:paraId="2E290693" w14:textId="77777777" w:rsidTr="00863A8C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C65DAA" w:rsidRPr="00643AED" w:rsidRDefault="00DA4DC4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</w:t>
            </w:r>
            <w:r w:rsidR="00C65DAA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ymiary budynku obiektu:</w:t>
            </w:r>
          </w:p>
          <w:p w14:paraId="7F4480EE" w14:textId="4C94B39F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 w:rsidR="003E3492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1F81" w14:textId="5DB2536D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 w:rsidR="004D530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226E9C38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 w:rsidR="004D530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4470DC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4835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4A433A6C" w14:textId="77777777" w:rsidTr="00863A8C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C65DAA" w:rsidRPr="00643AED" w:rsidRDefault="003E3492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091A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43CFFC9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41EA7B8B" w:rsidR="00C65DAA" w:rsidRPr="00643AED" w:rsidRDefault="004D530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4470DC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8716" w14:textId="10C2E1D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65DAA" w:rsidRPr="00643AED" w14:paraId="6E540A38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1741D39" w:rsidR="00C65DAA" w:rsidRPr="00643AED" w:rsidRDefault="004D530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wielospadowy, 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 w:rsidR="005F787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="00C65DAA"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8ED4" w14:textId="1F5EB9AB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65DAA" w:rsidRPr="00643AED" w14:paraId="4C46E11D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C65DAA" w:rsidRPr="00643AED" w:rsidRDefault="00C65DAA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31AEC8F7" w:rsidR="00C65DAA" w:rsidRPr="00643AED" w:rsidRDefault="00193278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</w:t>
            </w:r>
            <w:r w:rsidR="003E3492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5230" w14:textId="10059051" w:rsidR="00C65DAA" w:rsidRPr="00643AED" w:rsidRDefault="00C65DAA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A70D7D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A70D7D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A70D7D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A70D7D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A70D7D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A70D7D" w:rsidRDefault="00146578" w:rsidP="00146578">
      <w:pPr>
        <w:rPr>
          <w:lang w:val="pl-PL"/>
        </w:rPr>
      </w:pPr>
    </w:p>
    <w:p w14:paraId="77B4EB92" w14:textId="7F6F70C2" w:rsidR="007F5114" w:rsidRPr="00A70D7D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A70D7D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A70D7D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A70D7D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A70D7D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A70D7D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A70D7D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A70D7D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A70D7D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A70D7D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A70D7D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A70D7D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A70D7D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A70D7D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A70D7D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A70D7D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A70D7D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A70D7D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A70D7D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A70D7D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36FAD34A" w:rsidR="0040548A" w:rsidRPr="00643AED" w:rsidRDefault="00A70D7D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MOD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</w:t>
            </w:r>
            <w:r w:rsidR="00197A51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AB61" w14:textId="77777777" w:rsidR="009509DC" w:rsidRDefault="009509DC">
      <w:r>
        <w:separator/>
      </w:r>
    </w:p>
  </w:endnote>
  <w:endnote w:type="continuationSeparator" w:id="0">
    <w:p w14:paraId="198541D5" w14:textId="77777777" w:rsidR="009509DC" w:rsidRDefault="009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D892" w14:textId="77777777" w:rsidR="009509DC" w:rsidRDefault="009509DC">
      <w:r>
        <w:separator/>
      </w:r>
    </w:p>
  </w:footnote>
  <w:footnote w:type="continuationSeparator" w:id="0">
    <w:p w14:paraId="7F0D2ECF" w14:textId="77777777" w:rsidR="009509DC" w:rsidRDefault="0095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9B10332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C9F78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B87BE0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C298CC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A02C8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120316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1C4DA2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FCE428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49046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9B10332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C9F78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B87BE0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C298CC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A02C8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120316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1C4DA2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FCE428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49046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60640"/>
    <w:rsid w:val="000606AA"/>
    <w:rsid w:val="0006581D"/>
    <w:rsid w:val="0007123B"/>
    <w:rsid w:val="000715D1"/>
    <w:rsid w:val="00074C2A"/>
    <w:rsid w:val="000775EB"/>
    <w:rsid w:val="00081B9D"/>
    <w:rsid w:val="000845C1"/>
    <w:rsid w:val="000868AF"/>
    <w:rsid w:val="000A0B9B"/>
    <w:rsid w:val="000A1B8A"/>
    <w:rsid w:val="000A20F4"/>
    <w:rsid w:val="000B077B"/>
    <w:rsid w:val="000B201B"/>
    <w:rsid w:val="000B2C8C"/>
    <w:rsid w:val="000B329E"/>
    <w:rsid w:val="000C550A"/>
    <w:rsid w:val="000C749E"/>
    <w:rsid w:val="000D0179"/>
    <w:rsid w:val="000D7360"/>
    <w:rsid w:val="000D7E84"/>
    <w:rsid w:val="000E01B9"/>
    <w:rsid w:val="000E1B8A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97A51"/>
    <w:rsid w:val="001A0A67"/>
    <w:rsid w:val="001A5D15"/>
    <w:rsid w:val="001B069E"/>
    <w:rsid w:val="001B1C78"/>
    <w:rsid w:val="001B1FC6"/>
    <w:rsid w:val="001B3647"/>
    <w:rsid w:val="001C0798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5C67"/>
    <w:rsid w:val="002464F1"/>
    <w:rsid w:val="002508CF"/>
    <w:rsid w:val="0025321C"/>
    <w:rsid w:val="0026052D"/>
    <w:rsid w:val="0027717D"/>
    <w:rsid w:val="0027753E"/>
    <w:rsid w:val="00280715"/>
    <w:rsid w:val="00281CCB"/>
    <w:rsid w:val="00286454"/>
    <w:rsid w:val="00291085"/>
    <w:rsid w:val="00293585"/>
    <w:rsid w:val="00293F7C"/>
    <w:rsid w:val="002A7E5A"/>
    <w:rsid w:val="002B03AF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11413"/>
    <w:rsid w:val="00326F5B"/>
    <w:rsid w:val="00327F23"/>
    <w:rsid w:val="00330411"/>
    <w:rsid w:val="0033628D"/>
    <w:rsid w:val="00336B8D"/>
    <w:rsid w:val="00341344"/>
    <w:rsid w:val="00341F0E"/>
    <w:rsid w:val="003424BD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403904"/>
    <w:rsid w:val="0040548A"/>
    <w:rsid w:val="00406706"/>
    <w:rsid w:val="004072AC"/>
    <w:rsid w:val="0041154F"/>
    <w:rsid w:val="00417392"/>
    <w:rsid w:val="00424A0F"/>
    <w:rsid w:val="00431C3B"/>
    <w:rsid w:val="004411E9"/>
    <w:rsid w:val="00443029"/>
    <w:rsid w:val="00444F8C"/>
    <w:rsid w:val="004450E1"/>
    <w:rsid w:val="00445312"/>
    <w:rsid w:val="004470DC"/>
    <w:rsid w:val="004512CD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1DC3"/>
    <w:rsid w:val="0053459C"/>
    <w:rsid w:val="00535F8F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93586"/>
    <w:rsid w:val="005B09D7"/>
    <w:rsid w:val="005C03E1"/>
    <w:rsid w:val="005C0A7A"/>
    <w:rsid w:val="005C3082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0ED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3D97"/>
    <w:rsid w:val="00763DB4"/>
    <w:rsid w:val="00767B4A"/>
    <w:rsid w:val="0078129F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2CA8"/>
    <w:rsid w:val="00814703"/>
    <w:rsid w:val="00814BCF"/>
    <w:rsid w:val="00820E3E"/>
    <w:rsid w:val="008233A7"/>
    <w:rsid w:val="0083268D"/>
    <w:rsid w:val="00834B9C"/>
    <w:rsid w:val="00837947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37D28"/>
    <w:rsid w:val="00940505"/>
    <w:rsid w:val="00942D79"/>
    <w:rsid w:val="00944BA2"/>
    <w:rsid w:val="009455AD"/>
    <w:rsid w:val="0094693B"/>
    <w:rsid w:val="009478F1"/>
    <w:rsid w:val="009509DC"/>
    <w:rsid w:val="00950CA4"/>
    <w:rsid w:val="0095228B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B27FF"/>
    <w:rsid w:val="009B3290"/>
    <w:rsid w:val="009B4090"/>
    <w:rsid w:val="009B5F66"/>
    <w:rsid w:val="009B6077"/>
    <w:rsid w:val="009C3372"/>
    <w:rsid w:val="009C399B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4C6C"/>
    <w:rsid w:val="009E59D4"/>
    <w:rsid w:val="009F0D13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36773"/>
    <w:rsid w:val="00A4169B"/>
    <w:rsid w:val="00A43748"/>
    <w:rsid w:val="00A44960"/>
    <w:rsid w:val="00A4573C"/>
    <w:rsid w:val="00A50F2A"/>
    <w:rsid w:val="00A534B1"/>
    <w:rsid w:val="00A57BFF"/>
    <w:rsid w:val="00A60FB4"/>
    <w:rsid w:val="00A61C5A"/>
    <w:rsid w:val="00A62075"/>
    <w:rsid w:val="00A6507D"/>
    <w:rsid w:val="00A65E24"/>
    <w:rsid w:val="00A70D7D"/>
    <w:rsid w:val="00A71107"/>
    <w:rsid w:val="00A736DE"/>
    <w:rsid w:val="00A76832"/>
    <w:rsid w:val="00A83E98"/>
    <w:rsid w:val="00A85309"/>
    <w:rsid w:val="00A8683F"/>
    <w:rsid w:val="00A87BB1"/>
    <w:rsid w:val="00A92C4B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AC8"/>
    <w:rsid w:val="00AE4FB3"/>
    <w:rsid w:val="00AE5FBD"/>
    <w:rsid w:val="00AF2A8E"/>
    <w:rsid w:val="00AF51C2"/>
    <w:rsid w:val="00AF5AAD"/>
    <w:rsid w:val="00AF5FE3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C033E5"/>
    <w:rsid w:val="00C05D02"/>
    <w:rsid w:val="00C05FA3"/>
    <w:rsid w:val="00C13641"/>
    <w:rsid w:val="00C1749C"/>
    <w:rsid w:val="00C20746"/>
    <w:rsid w:val="00C23A38"/>
    <w:rsid w:val="00C302C5"/>
    <w:rsid w:val="00C34523"/>
    <w:rsid w:val="00C35C78"/>
    <w:rsid w:val="00C37E23"/>
    <w:rsid w:val="00C402EE"/>
    <w:rsid w:val="00C40E60"/>
    <w:rsid w:val="00C420F8"/>
    <w:rsid w:val="00C43E34"/>
    <w:rsid w:val="00C50340"/>
    <w:rsid w:val="00C50805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B7F16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42F6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CB0"/>
    <w:rsid w:val="00DB6FFC"/>
    <w:rsid w:val="00DB77FB"/>
    <w:rsid w:val="00DB7DE5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07E86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05D5"/>
    <w:rsid w:val="00F61803"/>
    <w:rsid w:val="00F67B6A"/>
    <w:rsid w:val="00F70C0A"/>
    <w:rsid w:val="00F70F9F"/>
    <w:rsid w:val="00F72D94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5E31"/>
    <w:rsid w:val="00FB1D7E"/>
    <w:rsid w:val="00FB23C0"/>
    <w:rsid w:val="00FB3E58"/>
    <w:rsid w:val="00FB4CF7"/>
    <w:rsid w:val="00FB5BBB"/>
    <w:rsid w:val="00FC5623"/>
    <w:rsid w:val="00FC5B8A"/>
    <w:rsid w:val="00FE11BB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5944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210</cp:revision>
  <cp:lastPrinted>2023-04-29T17:16:00Z</cp:lastPrinted>
  <dcterms:created xsi:type="dcterms:W3CDTF">2022-05-10T10:08:00Z</dcterms:created>
  <dcterms:modified xsi:type="dcterms:W3CDTF">2023-04-29T17:17:00Z</dcterms:modified>
</cp:coreProperties>
</file>