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3F4" w:rsidRDefault="000203F4">
      <w:pPr>
        <w:pStyle w:val="tytuwka"/>
        <w:rPr>
          <w:rFonts w:ascii="Arial" w:eastAsia="Times New Roman" w:hAnsi="Arial"/>
          <w:b/>
          <w:lang w:eastAsia="ar-SA"/>
        </w:rPr>
      </w:pPr>
      <w:r>
        <w:rPr>
          <w:rFonts w:ascii="Arial" w:eastAsia="Times New Roman" w:hAnsi="Arial"/>
          <w:b/>
          <w:lang w:eastAsia="ar-SA"/>
        </w:rPr>
        <w:t>D - 02.00.00</w:t>
      </w:r>
    </w:p>
    <w:p w:rsidR="000203F4" w:rsidRDefault="000203F4">
      <w:pPr>
        <w:pStyle w:val="tytuwka"/>
        <w:rPr>
          <w:rFonts w:ascii="Arial" w:eastAsia="Times New Roman" w:hAnsi="Arial"/>
          <w:b/>
          <w:lang w:eastAsia="ar-SA"/>
        </w:rPr>
      </w:pPr>
      <w:r>
        <w:rPr>
          <w:rFonts w:ascii="Arial" w:eastAsia="Times New Roman" w:hAnsi="Arial"/>
          <w:b/>
          <w:lang w:eastAsia="ar-SA"/>
        </w:rPr>
        <w:t>ROBOTY ZIEMNE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pStyle w:val="tytuwka"/>
        <w:rPr>
          <w:rFonts w:ascii="Arial" w:eastAsia="Times New Roman" w:hAnsi="Arial"/>
          <w:u w:val="single"/>
          <w:lang w:eastAsia="ar-SA"/>
        </w:rPr>
      </w:pPr>
      <w:r>
        <w:rPr>
          <w:rFonts w:ascii="Arial" w:eastAsia="Times New Roman" w:hAnsi="Arial"/>
          <w:u w:val="single"/>
          <w:lang w:eastAsia="ar-SA"/>
        </w:rPr>
        <w:t>D - 02.00.01</w:t>
      </w:r>
    </w:p>
    <w:p w:rsidR="000203F4" w:rsidRDefault="000203F4">
      <w:pPr>
        <w:pStyle w:val="tytuwka"/>
        <w:rPr>
          <w:rFonts w:ascii="Arial" w:eastAsia="Times New Roman" w:hAnsi="Arial"/>
          <w:u w:val="single"/>
          <w:lang w:eastAsia="ar-SA"/>
        </w:rPr>
      </w:pPr>
      <w:r>
        <w:rPr>
          <w:rFonts w:ascii="Arial" w:eastAsia="Times New Roman" w:hAnsi="Arial"/>
          <w:u w:val="single"/>
          <w:lang w:eastAsia="ar-SA"/>
        </w:rPr>
        <w:t>ROBOTY ZIEMNE. WYMAGANIA  OGÓLNE</w:t>
      </w:r>
    </w:p>
    <w:p w:rsidR="000203F4" w:rsidRDefault="000203F4">
      <w:pPr>
        <w:rPr>
          <w:rFonts w:ascii="Arial" w:eastAsia="Times New Roman" w:hAnsi="Arial"/>
          <w:sz w:val="20"/>
          <w:lang w:eastAsia="ar-SA"/>
        </w:rPr>
      </w:pPr>
    </w:p>
    <w:p w:rsidR="000203F4" w:rsidRDefault="000203F4">
      <w:pPr>
        <w:pStyle w:val="Nagwek1"/>
        <w:numPr>
          <w:ilvl w:val="0"/>
          <w:numId w:val="2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Część ogólna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Przedmiot SST</w:t>
      </w:r>
    </w:p>
    <w:p w:rsidR="009B52DC" w:rsidRPr="00E056E5" w:rsidRDefault="000203F4" w:rsidP="009B52DC">
      <w:pPr>
        <w:spacing w:before="100" w:beforeAutospacing="1"/>
        <w:rPr>
          <w:rFonts w:eastAsia="Times New Roman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</w:r>
      <w:r w:rsidR="009B52DC">
        <w:rPr>
          <w:rFonts w:ascii="Arial" w:eastAsia="Times New Roman" w:hAnsi="Arial"/>
          <w:sz w:val="20"/>
          <w:szCs w:val="20"/>
        </w:rPr>
        <w:t xml:space="preserve">Przedmiot niniejszej szczegółowej specyfikacji technicznej (SST) dotyczy </w:t>
      </w:r>
      <w:r w:rsidR="009B52DC">
        <w:rPr>
          <w:rFonts w:ascii="Arial" w:eastAsia="Times New Roman" w:hAnsi="Arial" w:cs="Arial"/>
          <w:sz w:val="20"/>
          <w:lang w:eastAsia="ar-SA"/>
        </w:rPr>
        <w:t>wykonania i odbioru robót</w:t>
      </w:r>
      <w:r w:rsidR="009B52DC">
        <w:rPr>
          <w:rFonts w:ascii="Arial" w:eastAsia="Times New Roman" w:hAnsi="Arial"/>
          <w:sz w:val="20"/>
          <w:szCs w:val="20"/>
        </w:rPr>
        <w:t xml:space="preserve"> zawartych w </w:t>
      </w:r>
      <w:r w:rsidR="009B52DC" w:rsidRPr="00E056E5">
        <w:rPr>
          <w:rFonts w:ascii="Arial" w:eastAsia="Times New Roman" w:hAnsi="Arial" w:cs="Arial"/>
          <w:color w:val="000000"/>
          <w:sz w:val="20"/>
          <w:szCs w:val="20"/>
        </w:rPr>
        <w:t xml:space="preserve"> OST D-00.00.00. „Wymagania ogólne” pkt. 1.</w:t>
      </w:r>
      <w:r w:rsidR="009B52DC">
        <w:rPr>
          <w:rFonts w:ascii="Arial" w:eastAsia="Times New Roman" w:hAnsi="Arial" w:cs="Arial"/>
          <w:color w:val="000000"/>
          <w:sz w:val="20"/>
          <w:szCs w:val="20"/>
        </w:rPr>
        <w:t>1.</w:t>
      </w:r>
    </w:p>
    <w:p w:rsidR="00BA6CC9" w:rsidRDefault="00BA6CC9" w:rsidP="00BA6CC9">
      <w:pPr>
        <w:ind w:firstLine="709"/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Zakres stosowania SST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Zakres stosowania niniejszej SST jest zgodny z ustaleniami zawartymi w OST D-00.00.00. „Wymagania ogólne” pkt. 1.2..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Zakres robót objętych SST</w:t>
      </w:r>
    </w:p>
    <w:p w:rsidR="000203F4" w:rsidRDefault="000203F4">
      <w:pPr>
        <w:ind w:firstLine="709"/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Ustalenia zawarte w niniejszej specyfikacji dotyczą zasad prowadzenia robót wymienionych w pkt. 1.1.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Określenia podstawowe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Budowla ziemna - budowla wykonana w gruncie lub z gruntu albo rozdrobnionych odpadów przemysłowych, spełniająca warunki stateczności i odwodnienia.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 xml:space="preserve">Korpus drogowy - nasyp lub ta część wykopu, która jest ograniczona koroną drogi i skarpami rowów. 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Wysokość nasypu lub głębokość wykopu - różnica rzędnej terenu i rzędnej robót ziemnych, wyznaczonych w osi nasypu lub wykopu.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Nasyp niski - nasyp, którego wysokość jest mniejsza niż 1 m.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Wykop płytki - wykop, którego głębokość jest mniejsza niż 1 m.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Ukop - miejsce pozyskania gruntu do wykonania nasypów, położone w obrębie pasa robót drogowych.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Dokop - miejsce pozyskania gruntu do wykonania nasypów, położone poza pasem robót drogowych.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Odkład - miejsce wbudowania lub składowania (odwiezienia) gruntów pozyskanych w czasie wykonywania wykopów, a nie wykorzystanych do budowy nasypów oraz innych prac związanych z trasą drogową.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 xml:space="preserve">Wskaźnik zagęszczenia gruntu - wielkość charakteryzująca stan zagęszczenia gruntu, określona wg wzoru: </w:t>
      </w:r>
    </w:p>
    <w:p w:rsidR="000203F4" w:rsidRDefault="000203F4">
      <w:pPr>
        <w:jc w:val="center"/>
        <w:rPr>
          <w:rFonts w:ascii="Arial" w:eastAsia="Times New Roman" w:hAnsi="Arial"/>
          <w:sz w:val="20"/>
          <w:szCs w:val="20"/>
          <w:lang w:eastAsia="ar-SA"/>
        </w:rPr>
      </w:pPr>
      <w:r w:rsidRPr="00242097">
        <w:rPr>
          <w:position w:val="-25"/>
        </w:rPr>
        <w:object w:dxaOrig="901" w:dyaOrig="7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5pt;height:35.3pt" o:ole="" filled="t">
            <v:fill color2="black"/>
            <v:imagedata r:id="rId7" o:title=""/>
          </v:shape>
          <o:OLEObject Type="Embed" ProgID="Equation.3" ShapeID="_x0000_i1025" DrawAspect="Content" ObjectID="_1524291107" r:id="rId8"/>
        </w:objec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gdzie:</w:t>
      </w:r>
    </w:p>
    <w:p w:rsidR="000203F4" w:rsidRDefault="00C804B7">
      <w:pPr>
        <w:tabs>
          <w:tab w:val="left" w:pos="426"/>
          <w:tab w:val="left" w:pos="709"/>
        </w:tabs>
        <w:rPr>
          <w:rFonts w:ascii="Arial" w:eastAsia="Times New Roman" w:hAnsi="Arial"/>
          <w:sz w:val="20"/>
          <w:szCs w:val="20"/>
          <w:lang w:eastAsia="ar-SA"/>
        </w:rPr>
      </w:pP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</w:t>
      </w:r>
      <w:r w:rsidR="000203F4">
        <w:rPr>
          <w:rFonts w:ascii="Arial" w:eastAsia="Times New Roman" w:hAnsi="Arial"/>
          <w:sz w:val="20"/>
          <w:szCs w:val="20"/>
          <w:vertAlign w:val="subscript"/>
          <w:lang w:eastAsia="ar-SA"/>
        </w:rPr>
        <w:t>d</w:t>
      </w:r>
      <w:proofErr w:type="spellEnd"/>
      <w:r w:rsidR="000203F4">
        <w:rPr>
          <w:rFonts w:ascii="Arial" w:eastAsia="Times New Roman" w:hAnsi="Arial"/>
          <w:sz w:val="20"/>
          <w:szCs w:val="20"/>
          <w:lang w:eastAsia="ar-SA"/>
        </w:rPr>
        <w:tab/>
        <w:t>-</w:t>
      </w:r>
      <w:r w:rsidR="000203F4">
        <w:rPr>
          <w:rFonts w:ascii="Arial" w:eastAsia="Times New Roman" w:hAnsi="Arial"/>
          <w:sz w:val="20"/>
          <w:szCs w:val="20"/>
          <w:lang w:eastAsia="ar-SA"/>
        </w:rPr>
        <w:tab/>
        <w:t>gęstość objętościowa szkieletu zagęszczonego gruntu, (Mg/m</w:t>
      </w:r>
      <w:r w:rsidR="000203F4">
        <w:rPr>
          <w:rFonts w:ascii="Arial" w:eastAsia="Times New Roman" w:hAnsi="Arial"/>
          <w:sz w:val="20"/>
          <w:szCs w:val="20"/>
          <w:vertAlign w:val="superscript"/>
          <w:lang w:eastAsia="ar-SA"/>
        </w:rPr>
        <w:t>3</w:t>
      </w:r>
      <w:r w:rsidR="000203F4">
        <w:rPr>
          <w:rFonts w:ascii="Arial" w:eastAsia="Times New Roman" w:hAnsi="Arial"/>
          <w:sz w:val="20"/>
          <w:szCs w:val="20"/>
          <w:lang w:eastAsia="ar-SA"/>
        </w:rPr>
        <w:t>),</w:t>
      </w:r>
    </w:p>
    <w:p w:rsidR="000203F4" w:rsidRDefault="00C804B7">
      <w:pPr>
        <w:rPr>
          <w:rFonts w:ascii="Arial" w:eastAsia="Times New Roman" w:hAnsi="Arial"/>
          <w:sz w:val="20"/>
          <w:szCs w:val="20"/>
          <w:lang w:eastAsia="ar-SA"/>
        </w:rPr>
      </w:pP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</w:t>
      </w:r>
      <w:r w:rsidR="000203F4">
        <w:rPr>
          <w:rFonts w:ascii="Arial" w:eastAsia="Times New Roman" w:hAnsi="Arial"/>
          <w:sz w:val="20"/>
          <w:szCs w:val="20"/>
          <w:vertAlign w:val="subscript"/>
          <w:lang w:eastAsia="ar-SA"/>
        </w:rPr>
        <w:t>ds</w:t>
      </w:r>
      <w:proofErr w:type="spellEnd"/>
      <w:r w:rsidR="000203F4">
        <w:rPr>
          <w:rFonts w:ascii="Arial" w:eastAsia="Times New Roman" w:hAnsi="Arial"/>
          <w:sz w:val="20"/>
          <w:szCs w:val="20"/>
          <w:lang w:eastAsia="ar-SA"/>
        </w:rPr>
        <w:tab/>
        <w:t>-</w:t>
      </w:r>
      <w:r w:rsidR="000203F4">
        <w:rPr>
          <w:rFonts w:ascii="Arial" w:eastAsia="Times New Roman" w:hAnsi="Arial"/>
          <w:sz w:val="20"/>
          <w:szCs w:val="20"/>
          <w:lang w:eastAsia="ar-SA"/>
        </w:rPr>
        <w:tab/>
        <w:t xml:space="preserve">maksymalna gęstość objętościowa szkieletu gruntowego przy wilgotności optymalnej, określona w normalnej próbie </w:t>
      </w:r>
      <w:proofErr w:type="spellStart"/>
      <w:r w:rsidR="000203F4">
        <w:rPr>
          <w:rFonts w:ascii="Arial" w:eastAsia="Times New Roman" w:hAnsi="Arial"/>
          <w:sz w:val="20"/>
          <w:szCs w:val="20"/>
          <w:lang w:eastAsia="ar-SA"/>
        </w:rPr>
        <w:t>Proctora</w:t>
      </w:r>
      <w:proofErr w:type="spellEnd"/>
      <w:r w:rsidR="000203F4">
        <w:rPr>
          <w:rFonts w:ascii="Arial" w:eastAsia="Times New Roman" w:hAnsi="Arial"/>
          <w:sz w:val="20"/>
          <w:szCs w:val="20"/>
          <w:lang w:eastAsia="ar-SA"/>
        </w:rPr>
        <w:t>, zgodnie z PN-B-04481 [2], służąca do oceny zagęszczenia gruntu w robotach ziemnych, badana zgodnie z normą BN-77/8931-12 [7], (Mg/m</w:t>
      </w:r>
      <w:r w:rsidR="000203F4">
        <w:rPr>
          <w:rFonts w:ascii="Arial" w:eastAsia="Times New Roman" w:hAnsi="Arial"/>
          <w:sz w:val="20"/>
          <w:szCs w:val="20"/>
          <w:vertAlign w:val="superscript"/>
          <w:lang w:eastAsia="ar-SA"/>
        </w:rPr>
        <w:t>3</w:t>
      </w:r>
      <w:r w:rsidR="000203F4">
        <w:rPr>
          <w:rFonts w:ascii="Arial" w:eastAsia="Times New Roman" w:hAnsi="Arial"/>
          <w:sz w:val="20"/>
          <w:szCs w:val="20"/>
          <w:lang w:eastAsia="ar-SA"/>
        </w:rPr>
        <w:t>).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 xml:space="preserve">Wskaźnik różnoziarnistości - wielkość charakteryzująca </w:t>
      </w:r>
      <w:proofErr w:type="spellStart"/>
      <w:r>
        <w:rPr>
          <w:rFonts w:ascii="Arial" w:eastAsia="Times New Roman" w:hAnsi="Arial"/>
          <w:sz w:val="20"/>
          <w:lang w:eastAsia="ar-SA"/>
        </w:rPr>
        <w:t>zagęszczalność</w:t>
      </w:r>
      <w:proofErr w:type="spellEnd"/>
      <w:r>
        <w:rPr>
          <w:rFonts w:ascii="Arial" w:eastAsia="Times New Roman" w:hAnsi="Arial"/>
          <w:sz w:val="20"/>
          <w:lang w:eastAsia="ar-SA"/>
        </w:rPr>
        <w:t xml:space="preserve"> gruntów niespoistych, określona wg wzoru:</w:t>
      </w:r>
    </w:p>
    <w:p w:rsidR="000203F4" w:rsidRDefault="000203F4">
      <w:pPr>
        <w:jc w:val="center"/>
        <w:rPr>
          <w:rFonts w:ascii="Arial" w:eastAsia="Times New Roman" w:hAnsi="Arial"/>
          <w:sz w:val="20"/>
          <w:szCs w:val="20"/>
          <w:lang w:eastAsia="ar-SA"/>
        </w:rPr>
      </w:pPr>
      <w:r w:rsidRPr="00242097">
        <w:rPr>
          <w:position w:val="-24"/>
        </w:rPr>
        <w:object w:dxaOrig="841" w:dyaOrig="681">
          <v:shape id="_x0000_i1026" type="#_x0000_t75" style="width:42.1pt;height:33.95pt" o:ole="" filled="t">
            <v:fill color2="black"/>
            <v:imagedata r:id="rId9" o:title=""/>
          </v:shape>
          <o:OLEObject Type="Embed" ProgID="Equation.3" ShapeID="_x0000_i1026" DrawAspect="Content" ObjectID="_1524291108" r:id="rId10"/>
        </w:objec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gdzie:</w:t>
      </w:r>
    </w:p>
    <w:p w:rsidR="000203F4" w:rsidRDefault="000203F4">
      <w:pPr>
        <w:tabs>
          <w:tab w:val="left" w:pos="426"/>
          <w:tab w:val="left" w:pos="709"/>
        </w:tabs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d</w:t>
      </w:r>
      <w:r>
        <w:rPr>
          <w:rFonts w:ascii="Arial" w:eastAsia="Times New Roman" w:hAnsi="Arial"/>
          <w:sz w:val="20"/>
          <w:szCs w:val="20"/>
          <w:vertAlign w:val="subscript"/>
          <w:lang w:eastAsia="ar-SA"/>
        </w:rPr>
        <w:t>60</w:t>
      </w:r>
      <w:r>
        <w:rPr>
          <w:rFonts w:ascii="Arial" w:eastAsia="Times New Roman" w:hAnsi="Arial"/>
          <w:sz w:val="20"/>
          <w:szCs w:val="20"/>
          <w:lang w:eastAsia="ar-SA"/>
        </w:rPr>
        <w:tab/>
        <w:t>-</w:t>
      </w:r>
      <w:r>
        <w:rPr>
          <w:rFonts w:ascii="Arial" w:eastAsia="Times New Roman" w:hAnsi="Arial"/>
          <w:sz w:val="20"/>
          <w:szCs w:val="20"/>
          <w:lang w:eastAsia="ar-SA"/>
        </w:rPr>
        <w:tab/>
        <w:t>średnica oczek sita, przez które przechodzi 60% gruntu, (mm),</w:t>
      </w:r>
    </w:p>
    <w:p w:rsidR="000203F4" w:rsidRDefault="000203F4">
      <w:pPr>
        <w:tabs>
          <w:tab w:val="left" w:pos="426"/>
          <w:tab w:val="left" w:pos="709"/>
        </w:tabs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d</w:t>
      </w:r>
      <w:r>
        <w:rPr>
          <w:rFonts w:ascii="Arial" w:eastAsia="Times New Roman" w:hAnsi="Arial"/>
          <w:sz w:val="20"/>
          <w:szCs w:val="20"/>
          <w:vertAlign w:val="subscript"/>
          <w:lang w:eastAsia="ar-SA"/>
        </w:rPr>
        <w:t>10</w:t>
      </w:r>
      <w:r>
        <w:rPr>
          <w:rFonts w:ascii="Arial" w:eastAsia="Times New Roman" w:hAnsi="Arial"/>
          <w:sz w:val="20"/>
          <w:szCs w:val="20"/>
          <w:lang w:eastAsia="ar-SA"/>
        </w:rPr>
        <w:tab/>
        <w:t>-</w:t>
      </w:r>
      <w:r>
        <w:rPr>
          <w:rFonts w:ascii="Arial" w:eastAsia="Times New Roman" w:hAnsi="Arial"/>
          <w:sz w:val="20"/>
          <w:szCs w:val="20"/>
          <w:lang w:eastAsia="ar-SA"/>
        </w:rPr>
        <w:tab/>
        <w:t>średnica oczek sita, przez które przechodzi 10% gruntu, (mm).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lastRenderedPageBreak/>
        <w:t xml:space="preserve">Pozostałe określenia podstawowe są zgodne z obowiązującymi, odpowiednimi polskimi normami i z definicjami podanymi w OST D-00.00.00 „Wymagania ogólne” </w:t>
      </w:r>
      <w:proofErr w:type="spellStart"/>
      <w:r>
        <w:rPr>
          <w:rFonts w:ascii="Arial" w:eastAsia="Times New Roman" w:hAnsi="Arial"/>
          <w:sz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lang w:eastAsia="ar-SA"/>
        </w:rPr>
        <w:t xml:space="preserve"> 1.4.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Ogólne wymagania dotyczące robót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Ogólne wymagania dotyczące robót podano w OST D-00.00.00 „Wymagania ogólne”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1.5.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wymagania szczegółowe dotyczące właściwości materiałów budowlanych (gruntów).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pStyle w:val="Nagwek1"/>
        <w:numPr>
          <w:ilvl w:val="0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Ogólne wymagania dotyczące materiałów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Ogólne wymagania dotyczące materiałów, ich pozyskiwania i składowania, podano w OST D-00.00.00 „Wymagania ogólne”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2.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Podział gruntów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Podział gruntów pod względem przydatności do budowy nasypów podano w tabeli 1.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Tablica 1. Przydatność gruntów do wykonywania budowli ziemnych wg PN-98/S-02205.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1941"/>
        <w:gridCol w:w="2736"/>
        <w:gridCol w:w="2799"/>
      </w:tblGrid>
      <w:tr w:rsidR="000203F4">
        <w:trPr>
          <w:jc w:val="center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jc w:val="center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Przeznaczenie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jc w:val="center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Przydatne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jc w:val="center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Przydatne</w:t>
            </w:r>
          </w:p>
          <w:p w:rsidR="000203F4" w:rsidRDefault="000203F4">
            <w:pPr>
              <w:jc w:val="center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z zastrzeżeniami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jc w:val="center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Treść</w:t>
            </w:r>
          </w:p>
          <w:p w:rsidR="000203F4" w:rsidRDefault="000203F4">
            <w:pPr>
              <w:jc w:val="center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zastrzeżenia</w:t>
            </w:r>
          </w:p>
        </w:tc>
      </w:tr>
      <w:tr w:rsidR="000203F4">
        <w:trPr>
          <w:jc w:val="center"/>
        </w:trPr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203F4" w:rsidRDefault="000203F4">
            <w:pPr>
              <w:snapToGrid w:val="0"/>
              <w:jc w:val="center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9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203F4" w:rsidRDefault="000203F4">
            <w:pPr>
              <w:snapToGrid w:val="0"/>
              <w:jc w:val="center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203F4" w:rsidRDefault="000203F4">
            <w:pPr>
              <w:snapToGrid w:val="0"/>
              <w:jc w:val="center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03F4" w:rsidRDefault="000203F4">
            <w:pPr>
              <w:snapToGrid w:val="0"/>
              <w:jc w:val="center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4</w:t>
            </w:r>
          </w:p>
        </w:tc>
      </w:tr>
      <w:tr w:rsidR="000203F4">
        <w:trPr>
          <w:jc w:val="center"/>
        </w:trPr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Na dolne warstwy nasypów poniżej strefy przemarzania</w:t>
            </w:r>
          </w:p>
        </w:tc>
        <w:tc>
          <w:tcPr>
            <w:tcW w:w="1941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1. Rozdrobnione grunty skaliste twarde oraz grunty kamieniste, zwietrzelinowe, rumosze i otoczaki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2. Żwiry i pospółki, również gliniaste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3. Piaski grubo, średnio i drobnoziarniste, naturalne i łamane</w:t>
            </w:r>
          </w:p>
          <w:p w:rsidR="000203F4" w:rsidRDefault="000203F4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4. Piaski gliniaste z domieszką frakcji żwirowo-kamienistej (morenowe) o wskaźniku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różnoziarnis-tości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U</w:t>
            </w:r>
            <w:r>
              <w:rPr>
                <w:rFonts w:ascii="Arial" w:hAnsi="Arial"/>
                <w:sz w:val="20"/>
                <w:szCs w:val="20"/>
              </w:rPr>
              <w:t>15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5. Żużle wielkopiecowe i inne metalurgiczne ze starych zwałów (powyżej 5 lat)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6. Łupki przywęgłowe przepalone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7. Wysiewki kamienne o zawartości frakcji iłowej poniżej 2%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1. Rozdrobnione grunty skaliste miękkie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2. Zwietrzeliny i rumosze gliniaste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3. Piaski pylaste, piaski gliniaste, pyły piaszczyste i pyły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4. Piaski próchniczne, z wyjątkiem pylastych piasków próchnicznych</w:t>
            </w:r>
          </w:p>
          <w:p w:rsidR="000203F4" w:rsidRDefault="000203F4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5. Gliny piaszczyste, gliny i gliny pylaste oraz inne o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w</w:t>
            </w:r>
            <w:r>
              <w:rPr>
                <w:rFonts w:ascii="Arial" w:hAnsi="Arial"/>
                <w:sz w:val="20"/>
                <w:szCs w:val="20"/>
                <w:vertAlign w:val="subscript"/>
              </w:rPr>
              <w:t>L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      </w:t>
            </w:r>
            <w:r>
              <w:rPr>
                <w:rFonts w:ascii="Arial" w:hAnsi="Arial"/>
                <w:sz w:val="20"/>
                <w:szCs w:val="20"/>
              </w:rPr>
              <w:t> 35%</w:t>
            </w:r>
          </w:p>
          <w:p w:rsidR="000203F4" w:rsidRDefault="000203F4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6. Gliny piaszczyste zwięzłe, gliny zwięzłe i gliny pylaste zwięzłe oraz inne grunty o granicy płynności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w</w:t>
            </w:r>
            <w:r>
              <w:rPr>
                <w:rFonts w:ascii="Arial" w:hAnsi="Arial"/>
                <w:sz w:val="20"/>
                <w:szCs w:val="20"/>
                <w:vertAlign w:val="subscript"/>
              </w:rPr>
              <w:t>L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od 35 do 60%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7. Wysiewki kamienne gliniaste o zawartości frakcji iłowej ponad 2%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8. Żużle wielkopiecowe i inne metalurgiczne z nowego studzenia (do 5 lat)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9. Iłołupki przywęglowe nieprzepalone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10. Popioły lotne i mieszaniny popiołowo-żużlowe</w:t>
            </w:r>
          </w:p>
          <w:p w:rsidR="000203F4" w:rsidRDefault="000203F4">
            <w:pPr>
              <w:spacing w:line="180" w:lineRule="exact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 gdy pory w gruncie skalistym będą wypełnione gruntem lub materiałem drobnoziarnistym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 gdy będą wbudowane w miejsca suche lub zabezpieczone od wód gruntowych i powierzchniowych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 do nasypów nie wyższych niż 3 m, zabezpieczonych przed zawilgoceniem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 w miejscach suchych lub przejściowo zawilgoconych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 do nasypów nie wyższych niż 3 m: zabezpieczonych przed zawilgoceniem lub po ulepszeniu spoiwami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 gdy zwierciadło wody gruntowej znajduje się na głębokości większej od kapilarności biernej gruntu podłoża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 o ograniczonej podatności na rozpad - łączne straty masy do 5%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 gdy wolne przestrzenie zostaną wypełnione materiałem drobnoziarnistym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 gdy zalegają w miejscach suchych lub są izolowane od wody</w:t>
            </w:r>
          </w:p>
        </w:tc>
      </w:tr>
      <w:tr w:rsidR="000203F4">
        <w:trPr>
          <w:jc w:val="center"/>
        </w:trPr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Na górne </w:t>
            </w: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lastRenderedPageBreak/>
              <w:t>warstwy na-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sypów</w:t>
            </w:r>
            <w:proofErr w:type="spellEnd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w </w:t>
            </w:r>
            <w:proofErr w:type="spellStart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stre</w:t>
            </w:r>
            <w:proofErr w:type="spellEnd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fie</w:t>
            </w:r>
            <w:proofErr w:type="spellEnd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</w:t>
            </w:r>
            <w:proofErr w:type="spellStart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przemar</w:t>
            </w:r>
            <w:proofErr w:type="spellEnd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zania</w:t>
            </w:r>
            <w:proofErr w:type="spellEnd"/>
          </w:p>
        </w:tc>
        <w:tc>
          <w:tcPr>
            <w:tcW w:w="1941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1. Żwiry i pospółki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2. Piaski grubo i średnio-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ziarniste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lastRenderedPageBreak/>
              <w:t xml:space="preserve">3. Iłołupki przywęglowe przepalone zawierające mniej niż 15% </w:t>
            </w:r>
            <w:proofErr w:type="spellStart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ziarn</w:t>
            </w:r>
            <w:proofErr w:type="spellEnd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mniej-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szych od 0,075 mm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4. Wysiewki kamienne o uziarnieniu odpowiadają-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cym pospółkom lub żwirom</w:t>
            </w:r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lastRenderedPageBreak/>
              <w:t>1. Żwiry i pospółki gliniaste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2. Piaski pylaste i gliniaste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3. Pyły piaszczyste i pyły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4. Gliny o granicy płynności mniejszej niż 35%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lastRenderedPageBreak/>
              <w:t>5. Mieszaniny popiołowo-żużlowe z węgla kamiennego</w:t>
            </w:r>
          </w:p>
          <w:p w:rsidR="000203F4" w:rsidRDefault="000203F4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6. Wysiewki kamienne gliniaste o zawartości frakcji iłowej </w:t>
            </w:r>
            <w:r>
              <w:rPr>
                <w:rFonts w:ascii="Arial" w:hAnsi="Arial"/>
                <w:sz w:val="20"/>
                <w:szCs w:val="20"/>
              </w:rPr>
              <w:t>2%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7. Żużle wielkopiecowe i inne metalurgiczne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8. Piaski drobnoziarniste</w:t>
            </w:r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- pod warunkiem ulepszenia tych gruntów spoiwami, takimi </w:t>
            </w: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lastRenderedPageBreak/>
              <w:t>jak: cement, wapno, aktywne popioły itp.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- drobnoziarniste i  </w:t>
            </w:r>
            <w:proofErr w:type="spellStart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nierozpado</w:t>
            </w:r>
            <w:proofErr w:type="spellEnd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</w:t>
            </w: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we: straty masy do 1%</w:t>
            </w:r>
          </w:p>
          <w:p w:rsidR="000203F4" w:rsidRDefault="000203F4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- o wskaźniku nośności w</w:t>
            </w:r>
            <w:r>
              <w:rPr>
                <w:rFonts w:ascii="Arial" w:hAnsi="Arial"/>
                <w:sz w:val="20"/>
                <w:szCs w:val="20"/>
                <w:vertAlign w:val="subscript"/>
              </w:rPr>
              <w:t>noś</w:t>
            </w:r>
            <w:r>
              <w:rPr>
                <w:rFonts w:ascii="Arial" w:hAnsi="Arial"/>
                <w:sz w:val="20"/>
                <w:szCs w:val="20"/>
              </w:rPr>
              <w:t>10</w:t>
            </w:r>
          </w:p>
        </w:tc>
      </w:tr>
      <w:tr w:rsidR="000203F4">
        <w:trPr>
          <w:jc w:val="center"/>
        </w:trPr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lastRenderedPageBreak/>
              <w:t>W wykopach i miejscach zerowych do głębokości przemarzania</w:t>
            </w:r>
          </w:p>
        </w:tc>
        <w:tc>
          <w:tcPr>
            <w:tcW w:w="1941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Grunty </w:t>
            </w:r>
            <w:proofErr w:type="spellStart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niewysadzinowe</w:t>
            </w:r>
            <w:proofErr w:type="spellEnd"/>
          </w:p>
        </w:tc>
        <w:tc>
          <w:tcPr>
            <w:tcW w:w="273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Grunty wątpliwe i </w:t>
            </w:r>
            <w:proofErr w:type="spellStart"/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wysadzinowe</w:t>
            </w:r>
            <w:proofErr w:type="spellEnd"/>
          </w:p>
        </w:tc>
        <w:tc>
          <w:tcPr>
            <w:tcW w:w="2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  <w:p w:rsidR="000203F4" w:rsidRDefault="000203F4">
            <w:pPr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- gdy są ulepszane spoiwami (cementem, wapnem, aktywnymi popiołami itp.)</w:t>
            </w:r>
          </w:p>
        </w:tc>
      </w:tr>
    </w:tbl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Zasady wykorzystania gruntów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Grunty uzyskane przy wykonywaniu wykopów powinny być przez Wykonawcę wykorzystane w maksymalnym stopniu do budowy nasypów. Grunty przydatne do budowy nasypów mogą być wywiezione poza teren budowy tylko wówczas, gdy stanowią nadmiar objętości robót ziemnych i za zezwoleniem Inżyniera Kontraktu.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Jeżeli grunty przydatne, uzyskane przy wykonaniu wykopów, nie będąc nadmiarem objętości robót ziemnych, zostały za zgodą Inżyniera Kontraktu wywiezione przez Wykonawcę poza teren budowy z przeznaczeniem innym niż budowa nasypów lub wykonanie prac objętych kontraktem, Wykonawca jest zobowiązany do dostarczenia równoważnej objętości gruntów przydatnych ze źródeł własnych, zaakceptowanych przez Inżyniera Kontraktu.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Grunty i materiały nieprzydatne do budowy nasypów, określone w tab. 1 powinny być wywiezione przez Wykonawcę na odkład. Zapewnienie terenów na odkład należy do obowiązków Zamawiającego, o ile nie określono tego inaczej w kontrakcie. Inżynier Kontraktu może nakazać pozostawienie na terenie budowy gruntów, których czasowa nieprzydatność wynika jedynie z powodu zamarznięcia lub nadmiernej wilgotności.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pStyle w:val="Nagwek1"/>
        <w:numPr>
          <w:ilvl w:val="0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wymagania szczegółowe dotyczące właściwości materiałów budowlanych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Ogólne wymagania dotyczące sprzętu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Ogólne wymagania dotyczące sprzętu podano w OST D-00.00.00 „Wymagania ogólne”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3.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Sprzęt do robót ziemnych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Wykonawca przystępujący do wykonania robót ziemnych powinien wykazać się możliwością korzystania z następującego sprzętu do:</w:t>
      </w:r>
    </w:p>
    <w:p w:rsidR="000203F4" w:rsidRDefault="000203F4">
      <w:pPr>
        <w:numPr>
          <w:ilvl w:val="0"/>
          <w:numId w:val="4"/>
        </w:numPr>
        <w:tabs>
          <w:tab w:val="left" w:pos="720"/>
        </w:tabs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odspajania i wydobywania gruntów (narzędzia mechaniczne, młoty pneumatyczne, zrywarki, koparki, ładowarki, wiertarki mechaniczne itp.),</w:t>
      </w:r>
    </w:p>
    <w:p w:rsidR="000203F4" w:rsidRDefault="000203F4">
      <w:pPr>
        <w:numPr>
          <w:ilvl w:val="0"/>
          <w:numId w:val="4"/>
        </w:numPr>
        <w:tabs>
          <w:tab w:val="left" w:pos="720"/>
        </w:tabs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jednoczesnego wydobywania i przemieszczania gruntów (spycharki, zgarniarki, równiarki, urządzenia do hydromechanizacji itp.),</w:t>
      </w:r>
    </w:p>
    <w:p w:rsidR="000203F4" w:rsidRDefault="000203F4">
      <w:pPr>
        <w:numPr>
          <w:ilvl w:val="0"/>
          <w:numId w:val="4"/>
        </w:numPr>
        <w:tabs>
          <w:tab w:val="left" w:pos="720"/>
        </w:tabs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transportu mas ziemnych (samochody wywrotki, samochody skrzyniowe, taśmociągi itp.),</w:t>
      </w:r>
    </w:p>
    <w:p w:rsidR="000203F4" w:rsidRDefault="000203F4">
      <w:pPr>
        <w:numPr>
          <w:ilvl w:val="0"/>
          <w:numId w:val="4"/>
        </w:numPr>
        <w:tabs>
          <w:tab w:val="left" w:pos="720"/>
        </w:tabs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sprzętu zagęszczającego (walce, ubijaki, płyty wibracyjne itp.).</w:t>
      </w:r>
    </w:p>
    <w:p w:rsidR="000203F4" w:rsidRDefault="000203F4">
      <w:pPr>
        <w:pStyle w:val="Nagwek1"/>
        <w:numPr>
          <w:ilvl w:val="0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wymagania dotyczące środków transportu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Ogólne wymagania dotyczące transportu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Ogólne wymagania dotyczące transportu podano w OST D-00.00.00 „Wymagania </w:t>
      </w:r>
      <w:r>
        <w:rPr>
          <w:rFonts w:ascii="Arial" w:eastAsia="Times New Roman" w:hAnsi="Arial"/>
          <w:sz w:val="20"/>
          <w:szCs w:val="20"/>
          <w:lang w:eastAsia="ar-SA"/>
        </w:rPr>
        <w:lastRenderedPageBreak/>
        <w:t xml:space="preserve">ogólne”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4.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Transport gruntów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Wybór środków transportowych oraz metod transportu powinien być dostosowany do kategorii gruntu (materiału), jego objętości, technologii odspajania i załadunku oraz od odległości transportu. Wydajność środków transportowych powinna być ponadto dostosowana do wydajności sprzętu stosowanego do urabiania i wbudowania gruntu (materiału).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Zwiększenie odległości transportu ponad wartości zatwierdzone nie może być podstawą roszczeń Wykonawcy, dotyczących dodatkowej zapłaty za transport, o ile zwiększone odległości nie zostały wcześniej zaakceptowane na piśmie przez Inżyniera Kontraktu.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Środki transportu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Przy ruchu po drogach publicznych  środki transportu powinny spełniać wymagania podane w OST D-00.00.00. „Wymagania ogólne” pkt. 1.5.9 i 4.</w:t>
      </w:r>
    </w:p>
    <w:p w:rsidR="000203F4" w:rsidRDefault="000203F4">
      <w:pPr>
        <w:pStyle w:val="Nagwek1"/>
        <w:numPr>
          <w:ilvl w:val="0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wymagania szczegółowe wykonania robót budowlanych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Ogólne zasady wykonania robót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Ogólne zasady wykonania robót podano w OST D-00.00.00 „Wymagania ogólne”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5.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Dokładność wykonania wykopów i nasypów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Odchylenie osi korpusu ziemnego, w wykopie lub nasypie, od osi projektowanej nie powinny być większe niż </w:t>
      </w:r>
      <w:r w:rsidR="00503BCE">
        <w:rPr>
          <w:rFonts w:ascii="Arial" w:eastAsia="Times New Roman" w:hAnsi="Arial"/>
          <w:sz w:val="20"/>
          <w:szCs w:val="20"/>
          <w:lang w:eastAsia="ar-SA"/>
        </w:rPr>
        <w:t>+/-</w:t>
      </w:r>
      <w:r>
        <w:rPr>
          <w:rFonts w:ascii="Arial" w:eastAsia="Times New Roman" w:hAnsi="Arial"/>
          <w:sz w:val="20"/>
          <w:szCs w:val="20"/>
          <w:lang w:eastAsia="ar-SA"/>
        </w:rPr>
        <w:t xml:space="preserve"> 10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cm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. Różnica w stosunku do projektowanych rzędnych robót ziemnych nie może przekraczać + 1 cm i -3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cm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>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Szerokość korpusu nie może różnić się od szerokości projektowanej o więcej niż </w:t>
      </w:r>
      <w:r w:rsidR="00503BCE">
        <w:rPr>
          <w:rFonts w:ascii="Arial" w:eastAsia="Times New Roman" w:hAnsi="Arial"/>
          <w:sz w:val="20"/>
          <w:szCs w:val="20"/>
          <w:lang w:eastAsia="ar-SA"/>
        </w:rPr>
        <w:t>+/-</w:t>
      </w:r>
      <w:r>
        <w:rPr>
          <w:rFonts w:ascii="Arial" w:eastAsia="Times New Roman" w:hAnsi="Arial"/>
          <w:sz w:val="20"/>
          <w:szCs w:val="20"/>
          <w:lang w:eastAsia="ar-SA"/>
        </w:rPr>
        <w:t xml:space="preserve"> 10 cm, a krawędzie korony drogi nie powinny mieć wyraźnych załamań w planie.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Pochylenie skarp nie powinno różnić się od projektowanego o więcej niż 10% jego wartości wyrażonej tangensem kąta. Maksymalna głębokość nierówności na powierzchni skarp nie powinna przekraczać 10 cm przy pomiarze łatą 3-metrową, albo powinny być spełnione inne wymagania dotyczące równości, wynikające ze sposobu umocnienia powierzchni.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Odwodnienia pasa robót ziemnych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Niezależnie od budowy urządzeń, stanowiących elementy systemów odwadniających, ujętych w dokumentacji projektowej, Wykonawca powinien, o ile wymagają tego warunki terenowe, wykonać urządzenia, które zapewnią odprowadzenie wód gruntowych i opadowych poza obszar robót ziemnych tak, aby zabezpieczyć grunty przed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przewilgoceniem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i nawodnieniem. Wykonawca ma obowiązek takiego wykonywania wykopów i nasypów, aby powierzchniom gruntu nadawać w całym okresie trwania robót spadki, zapewniające prawidłowe odwodnienie.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Jeżeli, wskutek zaniedbania Wykonawcy, grunty ulegną nawodnieniu, które spowoduje ich długotrwałą nieprzydatność, Wykonawca ma obowiązek usunięcia tych gruntów i zastąpienia ich gruntami przydatnymi na własny koszt bez jakichkolwiek dodatkowych opłat ze strony Zamawiającego za te czynności, jak również za dowieziony grunt.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Odprowadzenie wód do istniejących zbiorników naturalnych i urządzeń odwadniających musi być poprzedzone uzgodnieniem z odpowiednimi instytucjami.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Odwodnienie wykopów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Technologia wykonania wykopu musi umożliwiać jego prawidłowe odwodnienie w całym okresie trwania robót ziemnych. Wykonanie wykopów powinno postępować w kierunku podnoszenia się niwelety.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W czasie robót ziemnych należy zachować odpowiedni spadek podłużny i nadać przekrojom poprzecznym spadki, umożliwiające szybki odpływ wód z wykopu. O ile w dokumentacji projektowej nie zawarto innego wymagania, spadek poprzeczny nie powinien być mniejszy niż 4% w przypadku gruntów spoistych i nie mniejszy niż 2% w przypadku gruntów niespoistych. Należy uwzględnić ewentualny wpływ kolejności i sposobu odspajania gruntów oraz terminów wykonywania innych robót na spełnienie wymagań dotyczących prawidłowego odwodnienia wykopu w czasie postępu robót ziemnych.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Źródła wody, odsłonięte przy wykonywaniu wykopów, należy ująć w rowy i /lub dreny. Wody opadowe i gruntowe należy odprowadzić poza teren pasa robót ziemnych.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lastRenderedPageBreak/>
        <w:tab/>
        <w:t>Zakres, metoda i koszt wykonania dodatkowego odwodnienia wykopów w czasie prowadzenia robót należy do Wykonawcy i musi uzyskać akceptację Inżyniera Kontraktu.</w:t>
      </w:r>
    </w:p>
    <w:p w:rsidR="000203F4" w:rsidRDefault="000203F4">
      <w:pPr>
        <w:pStyle w:val="Nagwek1"/>
        <w:numPr>
          <w:ilvl w:val="0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kontrola, badania i odbiór wyrobów i robót budowlanych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Ogólne zasady kontroli jakości robót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Ogólne zasady kontroli jakości robót podano w OST D-00.00.00 „Wymagania ogólne”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6.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Badania i pomiary w czasie wykonywania robót ziemnych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Sprawdzenie odwodnienia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Sprawdzenie odwodnienia korpusu ziemnego polega na kontroli zgodności z wymaganiami specyfikacji określonymi w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5 oraz z dokumentacją projektową.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Szczególną uwagę należy zwrócić na:</w:t>
      </w:r>
    </w:p>
    <w:p w:rsidR="000203F4" w:rsidRDefault="000203F4">
      <w:pPr>
        <w:numPr>
          <w:ilvl w:val="0"/>
          <w:numId w:val="5"/>
        </w:numPr>
        <w:tabs>
          <w:tab w:val="left" w:pos="720"/>
        </w:tabs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właściwe ujęcie i odprowadzenie wód opadowych,</w:t>
      </w:r>
    </w:p>
    <w:p w:rsidR="000203F4" w:rsidRDefault="000203F4">
      <w:pPr>
        <w:numPr>
          <w:ilvl w:val="0"/>
          <w:numId w:val="5"/>
        </w:numPr>
        <w:tabs>
          <w:tab w:val="left" w:pos="720"/>
        </w:tabs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właściwe ujęcie i odprowadzenie wysięków wodnych.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 xml:space="preserve">Sprawdzenie jakości wykonania ukopu i </w:t>
      </w:r>
      <w:proofErr w:type="spellStart"/>
      <w:r>
        <w:rPr>
          <w:rFonts w:ascii="Arial" w:eastAsia="Times New Roman" w:hAnsi="Arial"/>
          <w:sz w:val="20"/>
          <w:lang w:eastAsia="ar-SA"/>
        </w:rPr>
        <w:t>dokopu</w:t>
      </w:r>
      <w:proofErr w:type="spellEnd"/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Sprawdzenie jakości wykonania ukopu i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dokopu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polega na kontrolowaniu zgodności z wymaganiami określonymi w p. 5.2 niniejszej specyfikacji oraz w dokumentacji projektowej. W czasie kontroli należy zwrócić szczególną uwagę na sprawdzenie: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zgodności rodzaju gruntu z określonym w dokumentacji projektowej,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zachowania kształtu zboczy, zapewniającego ich stateczność,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odwodnienia.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Badania przydatności gruntów do budowy nasypów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Badania przydatności gruntów do budowy nasypu powinny być przeprowadzone na próbkach pobranych z każdej partii przeznaczonej do wbudowania w korpus ziemny, pochodzącej z nowego źródła, jednak nie rzadziej niż jeden ran na 3000 m</w:t>
      </w:r>
      <w:r>
        <w:rPr>
          <w:rFonts w:ascii="Arial" w:eastAsia="Times New Roman" w:hAnsi="Arial"/>
          <w:sz w:val="20"/>
          <w:szCs w:val="20"/>
          <w:vertAlign w:val="superscript"/>
          <w:lang w:eastAsia="ar-SA"/>
        </w:rPr>
        <w:t>3</w:t>
      </w:r>
      <w:r>
        <w:rPr>
          <w:rFonts w:ascii="Arial" w:eastAsia="Times New Roman" w:hAnsi="Arial"/>
          <w:sz w:val="20"/>
          <w:szCs w:val="20"/>
          <w:lang w:eastAsia="ar-SA"/>
        </w:rPr>
        <w:t>. W każdym badaniu należy określić następujące właściwości wg PN-88/B-04481; PN-60/B-04493 i BN-64/8931-01.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Sprawdzenie jakości wykonania odkładu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Sprawdzenie wykonania odkładu polega na sprawdzeniu zgodności z wymaganiami określonymi w p. 2 oraz p. 5.4 niniejszej specyfikacji i w dokumentacji projektowej.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Szczególną uwagę należy zwrócić na:</w:t>
      </w:r>
    </w:p>
    <w:p w:rsidR="000203F4" w:rsidRDefault="000203F4">
      <w:pPr>
        <w:numPr>
          <w:ilvl w:val="0"/>
          <w:numId w:val="6"/>
        </w:numPr>
        <w:tabs>
          <w:tab w:val="left" w:pos="720"/>
        </w:tabs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prawidłowość usytuowania i kształt geometryczny odkładu,</w:t>
      </w:r>
    </w:p>
    <w:p w:rsidR="000203F4" w:rsidRDefault="000203F4">
      <w:pPr>
        <w:numPr>
          <w:ilvl w:val="0"/>
          <w:numId w:val="6"/>
        </w:numPr>
        <w:tabs>
          <w:tab w:val="left" w:pos="720"/>
        </w:tabs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odpowiednie wbudowanie gruntu.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Badania do odbioru korpusu ziemnego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Częstotliwość oraz zakres badań i pomiarów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Częstotliwość oraz zakres badań i pomiarów do odbioru korpusu ziemnego podaje tablica 2.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Tablica 2. Częstotliwość oraz zakres badań i pomiarów wykonanych robót ziemnych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846"/>
        <w:gridCol w:w="5415"/>
      </w:tblGrid>
      <w:tr w:rsidR="000203F4">
        <w:trPr>
          <w:jc w:val="center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Badana cecha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Minimalna częstotliwość badań i pomiarów</w:t>
            </w:r>
          </w:p>
        </w:tc>
      </w:tr>
      <w:tr w:rsidR="000203F4">
        <w:trPr>
          <w:jc w:val="center"/>
        </w:trPr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84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Pomiar szerokości korpusu ziemnego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Pomiar taśmą, szablonem, łatą o długości 3 m i poziomicą lub niwelatorem, w odstępach co 200 m na</w:t>
            </w:r>
          </w:p>
        </w:tc>
      </w:tr>
      <w:tr w:rsidR="000203F4">
        <w:trPr>
          <w:jc w:val="center"/>
        </w:trPr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84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Pomiar szerokości dna rowów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prostych, w punktach głównych łuku, co 100 m na łukach o R </w:t>
            </w: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 100 m co 50 m na łukach o R </w:t>
            </w: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 100 m</w:t>
            </w:r>
          </w:p>
        </w:tc>
      </w:tr>
      <w:tr w:rsidR="000203F4">
        <w:trPr>
          <w:jc w:val="center"/>
        </w:trPr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84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Pomiar rzędnych powierzchni korpusu ziemnego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oraz w miejscach, które budzą wątpliwości</w:t>
            </w:r>
          </w:p>
        </w:tc>
      </w:tr>
      <w:tr w:rsidR="000203F4">
        <w:trPr>
          <w:jc w:val="center"/>
        </w:trPr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84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Pomiar pochylenia skarp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</w:tc>
      </w:tr>
      <w:tr w:rsidR="000203F4">
        <w:trPr>
          <w:jc w:val="center"/>
        </w:trPr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84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Pomiar równości powierzchni korpusu</w:t>
            </w:r>
          </w:p>
        </w:tc>
        <w:tc>
          <w:tcPr>
            <w:tcW w:w="5415" w:type="dxa"/>
            <w:tcBorders>
              <w:left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</w:tc>
      </w:tr>
      <w:tr w:rsidR="000203F4">
        <w:trPr>
          <w:jc w:val="center"/>
        </w:trPr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84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Pomiar równości skarp</w:t>
            </w:r>
          </w:p>
        </w:tc>
        <w:tc>
          <w:tcPr>
            <w:tcW w:w="5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</w:p>
        </w:tc>
      </w:tr>
      <w:tr w:rsidR="000203F4">
        <w:trPr>
          <w:jc w:val="center"/>
        </w:trPr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84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Pomiar spadku podłużnego powierzchni korpusu lub dna rowu</w:t>
            </w:r>
          </w:p>
        </w:tc>
        <w:tc>
          <w:tcPr>
            <w:tcW w:w="5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Pomiar niwelatorem rzędnych w odstępach co 200 m oraz w punktach wątpliwych</w:t>
            </w:r>
          </w:p>
        </w:tc>
      </w:tr>
      <w:tr w:rsidR="000203F4">
        <w:trPr>
          <w:jc w:val="center"/>
        </w:trPr>
        <w:tc>
          <w:tcPr>
            <w:tcW w:w="49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846" w:type="dxa"/>
            <w:tcBorders>
              <w:left w:val="single" w:sz="4" w:space="0" w:color="000000"/>
              <w:bottom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Badanie zagęszczenia gruntu</w:t>
            </w:r>
          </w:p>
        </w:tc>
        <w:tc>
          <w:tcPr>
            <w:tcW w:w="5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Wskaźnik zagęszczenia określać dla każdej ułożonej warstwy lecz nie rzadziej niż raz na każde 500 m</w:t>
            </w:r>
            <w:r>
              <w:rPr>
                <w:rFonts w:ascii="Arial" w:eastAsia="Times New Roman" w:hAnsi="Arial"/>
                <w:sz w:val="20"/>
                <w:szCs w:val="20"/>
                <w:vertAlign w:val="superscript"/>
                <w:lang w:eastAsia="ar-SA"/>
              </w:rPr>
              <w:t>3</w:t>
            </w: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 xml:space="preserve"> nasypu</w:t>
            </w:r>
          </w:p>
        </w:tc>
      </w:tr>
    </w:tbl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lastRenderedPageBreak/>
        <w:t>Szerokość korpusu ziemnego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Szerokość korpusu ziemnego nie może różnić się od szerokości projektowanej o więcej niż </w:t>
      </w:r>
      <w:r w:rsidR="00C804B7">
        <w:rPr>
          <w:rFonts w:ascii="Arial" w:eastAsia="Times New Roman" w:hAnsi="Arial"/>
          <w:sz w:val="20"/>
          <w:szCs w:val="20"/>
          <w:lang w:eastAsia="ar-SA"/>
        </w:rPr>
        <w:t>+/-</w:t>
      </w:r>
      <w:r>
        <w:rPr>
          <w:rFonts w:ascii="Arial" w:eastAsia="Times New Roman" w:hAnsi="Arial"/>
          <w:sz w:val="20"/>
          <w:szCs w:val="20"/>
          <w:lang w:eastAsia="ar-SA"/>
        </w:rPr>
        <w:t xml:space="preserve"> 10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cm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>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Szerokość dna rowów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Szerokość dna rowów nie może różnić się od szerokości projektowanej o więcej niż </w:t>
      </w:r>
      <w:r w:rsidR="00503BCE">
        <w:rPr>
          <w:rFonts w:ascii="Arial" w:eastAsia="Times New Roman" w:hAnsi="Arial"/>
          <w:sz w:val="20"/>
          <w:szCs w:val="20"/>
          <w:lang w:eastAsia="ar-SA"/>
        </w:rPr>
        <w:t>+/-</w:t>
      </w:r>
      <w:r>
        <w:rPr>
          <w:rFonts w:ascii="Arial" w:eastAsia="Times New Roman" w:hAnsi="Arial"/>
          <w:sz w:val="20"/>
          <w:szCs w:val="20"/>
          <w:lang w:eastAsia="ar-SA"/>
        </w:rPr>
        <w:t xml:space="preserve"> 5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cm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>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Rzędne korony korpusu ziemnego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Rzędne korony korpusu ziemnego nie mogą różnić się od rzędnych projektowanych o więcej niż -3 cm lub +1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cm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>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Pochylenie skarp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Pochylenie skarp nie może różnić się od pochylenia projektowanego o więcej niż 10% wartości pochylenia wyrażonego tangensem kąta.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Równość korony korpusu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Nierówności powierzchni korpusu ziemnego mierzone łatą 3-metrową, nie mogą przekraczać 3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cm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>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Równość skarp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Nierówności skarp, mierzone łatą 3-metrową, nie mogą przekraczać </w:t>
      </w:r>
      <w:r w:rsidR="00503BCE">
        <w:rPr>
          <w:rFonts w:ascii="Arial" w:eastAsia="Times New Roman" w:hAnsi="Arial"/>
          <w:sz w:val="20"/>
          <w:szCs w:val="20"/>
          <w:lang w:eastAsia="ar-SA"/>
        </w:rPr>
        <w:t>+/-</w:t>
      </w:r>
      <w:r>
        <w:rPr>
          <w:rFonts w:ascii="Arial" w:eastAsia="Times New Roman" w:hAnsi="Arial"/>
          <w:sz w:val="20"/>
          <w:szCs w:val="20"/>
          <w:lang w:eastAsia="ar-SA"/>
        </w:rPr>
        <w:t xml:space="preserve"> 10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cm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>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Spadek podłużny korony korpusu lub dna rowu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Spadek podłużny powierzchni korpusu ziemnego lub dna rowu, sprawdzony przez pomiar niwelatorem rzędnych wysokościowych, nie może dawać różnic, w stosunku do rzędnych projektowanych, większych niż -3 cm lub +1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cm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>.</w:t>
      </w:r>
    </w:p>
    <w:p w:rsidR="000203F4" w:rsidRDefault="000203F4">
      <w:pPr>
        <w:pStyle w:val="Nagwek3"/>
        <w:numPr>
          <w:ilvl w:val="2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Zagęszczenie gruntu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Wskaźnik zagęszczenia gruntu określony zgodnie z BN-77/8931-12 powinien być zgodny z założonym dla odpowiedniej kategorii ruchu.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Zasady postępowania z wadliwie wykonanymi robotami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Wszystkie materiały nie spełniające wymagań podanych w odpowiednich punktach specyfikacji, zostaną odrzucone. Jeśli materiały nie spełniające wymagań zostaną wbudowane lub zastosowane, to na polecenie Inżyniera Kontraktu Wykonawca wymieni je na właściwe, na własny koszt.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Wszystkie roboty, które wykazują większe odchylenia cech od określonych w punktach 5 i 6 specyfikacji powinny być ponownie wykonane przez Wykonawcę na jego koszt.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Na pisemne wystąpienie Wykonawcy, Inżynier Kontraktu może uznać wadę za nie mającą zasadniczego wpływu na cechy eksploatacyjne drogi i ustali zakres i wielkość potrąceń za obniżoną jakość.</w:t>
      </w:r>
    </w:p>
    <w:p w:rsidR="000203F4" w:rsidRDefault="000203F4">
      <w:pPr>
        <w:pStyle w:val="Nagwek1"/>
        <w:numPr>
          <w:ilvl w:val="0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wymagania dotyczące przedmiaru i obmiaru robót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Ogólne zasady obmiaru robót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Ogólne zasady obmiaru robót podano w OST D-00.00.00 „Wymagania ogólne”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7.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Obmiar robót ziemnych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Jednostka obmiarową jest m</w:t>
      </w:r>
      <w:r>
        <w:rPr>
          <w:rFonts w:ascii="Arial" w:eastAsia="Times New Roman" w:hAnsi="Arial"/>
          <w:sz w:val="20"/>
          <w:szCs w:val="20"/>
          <w:vertAlign w:val="superscript"/>
          <w:lang w:eastAsia="ar-SA"/>
        </w:rPr>
        <w:t>3</w:t>
      </w:r>
      <w:r>
        <w:rPr>
          <w:rFonts w:ascii="Arial" w:eastAsia="Times New Roman" w:hAnsi="Arial"/>
          <w:sz w:val="20"/>
          <w:szCs w:val="20"/>
          <w:lang w:eastAsia="ar-SA"/>
        </w:rPr>
        <w:t xml:space="preserve"> (metr sześcienny) wykonanych robót ziemnych.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p w:rsidR="000203F4" w:rsidRDefault="000203F4">
      <w:pPr>
        <w:pStyle w:val="Nagwek1"/>
        <w:numPr>
          <w:ilvl w:val="0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Odbiór robót budowlanych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Ogólne zasady odbioru robót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Ogólne zasady odbioru robót podano w OST D-00.00.00 „Wymagania ogólne”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8.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Roboty ziemne uznaje się za wykonane zgodnie z dokumentacją projektową, SST i wymaganiami Inżyniera Kontraktu, jeżeli wszystkie pomiary i badania z zachowaniem tolerancji wg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6 dały wyniki pozytywne.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>rozliczenia robót</w:t>
      </w:r>
    </w:p>
    <w:p w:rsidR="000203F4" w:rsidRDefault="000203F4">
      <w:pPr>
        <w:pStyle w:val="Nagwek1"/>
        <w:numPr>
          <w:ilvl w:val="0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Ogólne ustalenia dotyczące podstawy płatności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Ogólne ustalenia dotyczące podstawy płatności podano w OST D-00.00.00 „Wymagania ogólne”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9.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lastRenderedPageBreak/>
        <w:t>Cena jednostki obmiarowej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 xml:space="preserve">Zakres czynności objętych ceną jednostkową podano w SST D-02.01.01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pkt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 xml:space="preserve"> 9.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Liczba jednostek obmiarowych</w:t>
      </w: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ab/>
        <w:t>Projektowana liczba jednostek obmiarowych została określona w przedmiarze robót oraz kosztorysie przetargowym zawartych w dokumentacji projektowej.</w:t>
      </w:r>
    </w:p>
    <w:p w:rsidR="000203F4" w:rsidRDefault="000203F4">
      <w:pPr>
        <w:pStyle w:val="Nagwek1"/>
        <w:numPr>
          <w:ilvl w:val="0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DOKUMENTY odniesienia</w:t>
      </w:r>
    </w:p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Normy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54"/>
        <w:gridCol w:w="1879"/>
        <w:gridCol w:w="6342"/>
      </w:tblGrid>
      <w:tr w:rsidR="000203F4">
        <w:tc>
          <w:tcPr>
            <w:tcW w:w="354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1879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PN-74/B-02480</w:t>
            </w:r>
          </w:p>
        </w:tc>
        <w:tc>
          <w:tcPr>
            <w:tcW w:w="6342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Grunty budowlane. Określenia. Symbole. Podział i opis gruntów</w:t>
            </w:r>
          </w:p>
        </w:tc>
      </w:tr>
      <w:tr w:rsidR="000203F4">
        <w:tc>
          <w:tcPr>
            <w:tcW w:w="354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1879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PN-B-04481</w:t>
            </w:r>
          </w:p>
        </w:tc>
        <w:tc>
          <w:tcPr>
            <w:tcW w:w="6342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Grunty budowlane. Badania próbek gruntów</w:t>
            </w:r>
          </w:p>
        </w:tc>
      </w:tr>
      <w:tr w:rsidR="000203F4">
        <w:tc>
          <w:tcPr>
            <w:tcW w:w="354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1879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PN-B-04493</w:t>
            </w:r>
          </w:p>
        </w:tc>
        <w:tc>
          <w:tcPr>
            <w:tcW w:w="6342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Grunty budowlane. Oznaczanie kapilarności biernej</w:t>
            </w:r>
          </w:p>
        </w:tc>
      </w:tr>
      <w:tr w:rsidR="000203F4">
        <w:tc>
          <w:tcPr>
            <w:tcW w:w="354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1879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PN-98/S-02205</w:t>
            </w:r>
          </w:p>
        </w:tc>
        <w:tc>
          <w:tcPr>
            <w:tcW w:w="6342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Drogi samochodowe. Roboty ziemne. Wymagania i badania</w:t>
            </w:r>
          </w:p>
        </w:tc>
      </w:tr>
      <w:tr w:rsidR="000203F4">
        <w:tc>
          <w:tcPr>
            <w:tcW w:w="354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1879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BN-68/8931-01</w:t>
            </w:r>
          </w:p>
        </w:tc>
        <w:tc>
          <w:tcPr>
            <w:tcW w:w="6342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Drogi samochodowe. Oznaczenie wskaźnika piaskowego</w:t>
            </w:r>
          </w:p>
        </w:tc>
      </w:tr>
      <w:tr w:rsidR="000203F4">
        <w:tc>
          <w:tcPr>
            <w:tcW w:w="354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1879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BN-68/8931-02</w:t>
            </w:r>
          </w:p>
        </w:tc>
        <w:tc>
          <w:tcPr>
            <w:tcW w:w="6342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Drogi samochodowe. Oznaczenie modułu odkształcenia nawierzchni podatnych i podłoża przez obciążenie płytą</w:t>
            </w:r>
          </w:p>
        </w:tc>
      </w:tr>
      <w:tr w:rsidR="000203F4">
        <w:tc>
          <w:tcPr>
            <w:tcW w:w="354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1879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BN-77/8931-12</w:t>
            </w:r>
          </w:p>
        </w:tc>
        <w:tc>
          <w:tcPr>
            <w:tcW w:w="6342" w:type="dxa"/>
          </w:tcPr>
          <w:p w:rsidR="000203F4" w:rsidRDefault="000203F4">
            <w:pPr>
              <w:snapToGrid w:val="0"/>
              <w:rPr>
                <w:rFonts w:ascii="Arial" w:eastAsia="Times New Roman" w:hAnsi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ar-SA"/>
              </w:rPr>
              <w:t>Oznaczenie wskaźnika zagęszczenia gruntu</w:t>
            </w:r>
          </w:p>
        </w:tc>
      </w:tr>
    </w:tbl>
    <w:p w:rsidR="000203F4" w:rsidRDefault="000203F4">
      <w:pPr>
        <w:pStyle w:val="Nagwek2"/>
        <w:numPr>
          <w:ilvl w:val="1"/>
          <w:numId w:val="3"/>
        </w:numPr>
        <w:tabs>
          <w:tab w:val="left" w:pos="0"/>
          <w:tab w:val="left" w:pos="720"/>
        </w:tabs>
        <w:rPr>
          <w:rFonts w:ascii="Arial" w:eastAsia="Times New Roman" w:hAnsi="Arial"/>
          <w:sz w:val="20"/>
          <w:lang w:eastAsia="ar-SA"/>
        </w:rPr>
      </w:pPr>
      <w:r>
        <w:rPr>
          <w:rFonts w:ascii="Arial" w:eastAsia="Times New Roman" w:hAnsi="Arial"/>
          <w:sz w:val="20"/>
          <w:lang w:eastAsia="ar-SA"/>
        </w:rPr>
        <w:t>Inne dokumenty</w:t>
      </w:r>
    </w:p>
    <w:p w:rsidR="000203F4" w:rsidRDefault="000203F4">
      <w:pPr>
        <w:keepNext/>
        <w:keepLines/>
        <w:numPr>
          <w:ilvl w:val="0"/>
          <w:numId w:val="7"/>
        </w:numPr>
        <w:suppressLineNumbers/>
        <w:tabs>
          <w:tab w:val="left" w:pos="340"/>
        </w:tabs>
        <w:rPr>
          <w:rFonts w:ascii="Arial" w:eastAsia="Times New Roman" w:hAnsi="Arial"/>
          <w:sz w:val="20"/>
          <w:szCs w:val="20"/>
          <w:lang w:eastAsia="ar-SA"/>
        </w:rPr>
      </w:pPr>
      <w:r>
        <w:rPr>
          <w:rFonts w:ascii="Arial" w:eastAsia="Times New Roman" w:hAnsi="Arial"/>
          <w:sz w:val="20"/>
          <w:szCs w:val="20"/>
          <w:lang w:eastAsia="ar-SA"/>
        </w:rPr>
        <w:t xml:space="preserve">Wykonanie i odbiór robót ziemnych dla dróg szybkiego ruchu, </w:t>
      </w:r>
      <w:proofErr w:type="spellStart"/>
      <w:r>
        <w:rPr>
          <w:rFonts w:ascii="Arial" w:eastAsia="Times New Roman" w:hAnsi="Arial"/>
          <w:sz w:val="20"/>
          <w:szCs w:val="20"/>
          <w:lang w:eastAsia="ar-SA"/>
        </w:rPr>
        <w:t>IBDiM</w:t>
      </w:r>
      <w:proofErr w:type="spellEnd"/>
      <w:r>
        <w:rPr>
          <w:rFonts w:ascii="Arial" w:eastAsia="Times New Roman" w:hAnsi="Arial"/>
          <w:sz w:val="20"/>
          <w:szCs w:val="20"/>
          <w:lang w:eastAsia="ar-SA"/>
        </w:rPr>
        <w:t>, Warszawa 1978.</w:t>
      </w:r>
    </w:p>
    <w:p w:rsidR="000203F4" w:rsidRDefault="000203F4">
      <w:pPr>
        <w:rPr>
          <w:rFonts w:ascii="Arial" w:hAnsi="Arial"/>
          <w:sz w:val="20"/>
          <w:szCs w:val="20"/>
        </w:rPr>
      </w:pPr>
    </w:p>
    <w:p w:rsidR="000203F4" w:rsidRDefault="000203F4">
      <w:pPr>
        <w:rPr>
          <w:rFonts w:ascii="Arial" w:hAnsi="Arial"/>
          <w:sz w:val="20"/>
          <w:szCs w:val="20"/>
        </w:rPr>
      </w:pPr>
    </w:p>
    <w:p w:rsidR="000203F4" w:rsidRDefault="000203F4">
      <w:pPr>
        <w:rPr>
          <w:rFonts w:ascii="Arial" w:hAnsi="Arial"/>
          <w:sz w:val="20"/>
          <w:szCs w:val="20"/>
        </w:rPr>
      </w:pPr>
    </w:p>
    <w:p w:rsidR="000203F4" w:rsidRDefault="000203F4">
      <w:pPr>
        <w:rPr>
          <w:rFonts w:ascii="Arial" w:eastAsia="Times New Roman" w:hAnsi="Arial"/>
          <w:sz w:val="20"/>
          <w:szCs w:val="20"/>
          <w:lang w:eastAsia="ar-SA"/>
        </w:rPr>
      </w:pPr>
    </w:p>
    <w:sectPr w:rsidR="000203F4" w:rsidSect="00EB28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</w:footnotePr>
      <w:pgSz w:w="11905" w:h="16837"/>
      <w:pgMar w:top="1440" w:right="1440" w:bottom="1440" w:left="1800" w:header="708" w:footer="708" w:gutter="0"/>
      <w:pgNumType w:start="25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084" w:rsidRDefault="002B6084" w:rsidP="00DB3296">
      <w:r>
        <w:separator/>
      </w:r>
    </w:p>
  </w:endnote>
  <w:endnote w:type="continuationSeparator" w:id="0">
    <w:p w:rsidR="002B6084" w:rsidRDefault="002B6084" w:rsidP="00DB32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96" w:rsidRDefault="00DB329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96" w:rsidRDefault="00DB3296">
    <w:pPr>
      <w:pStyle w:val="Stopka"/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str. </w:t>
    </w:r>
    <w:fldSimple w:instr=" PAGE    \* MERGEFORMAT ">
      <w:r w:rsidR="00EB28ED" w:rsidRPr="00EB28ED">
        <w:rPr>
          <w:rFonts w:ascii="Cambria" w:hAnsi="Cambria"/>
          <w:noProof/>
          <w:sz w:val="28"/>
          <w:szCs w:val="28"/>
        </w:rPr>
        <w:t>25</w:t>
      </w:r>
    </w:fldSimple>
  </w:p>
  <w:p w:rsidR="00DB3296" w:rsidRDefault="00DB329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96" w:rsidRDefault="00DB329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084" w:rsidRDefault="002B6084" w:rsidP="00DB3296">
      <w:r>
        <w:separator/>
      </w:r>
    </w:p>
  </w:footnote>
  <w:footnote w:type="continuationSeparator" w:id="0">
    <w:p w:rsidR="002B6084" w:rsidRDefault="002B6084" w:rsidP="00DB32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96" w:rsidRDefault="00DB329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96" w:rsidRDefault="00DB3296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296" w:rsidRDefault="00DB329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0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60" w:firstLine="0"/>
      </w:pPr>
      <w:rPr>
        <w:rFonts w:ascii="Times New Roman" w:hAnsi="Times New Roman"/>
        <w:b w:val="0"/>
        <w:i/>
        <w:sz w:val="2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384"/>
        </w:tabs>
        <w:ind w:left="33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60" w:firstLine="0"/>
      </w:pPr>
      <w:rPr>
        <w:rFonts w:ascii="Times New Roman" w:hAnsi="Times New Roman"/>
        <w:b w:val="0"/>
        <w:i/>
        <w:sz w:val="2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384"/>
        </w:tabs>
        <w:ind w:left="33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</w:lvl>
  </w:abstractNum>
  <w:abstractNum w:abstractNumId="3">
    <w:nsid w:val="00000004"/>
    <w:multiLevelType w:val="multilevel"/>
    <w:tmpl w:val="00000004"/>
    <w:name w:val="WW8Num4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35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outline w:val="0"/>
        <w:shadow w:val="0"/>
        <w:vanish w:val="0"/>
        <w:position w:val="0"/>
        <w:sz w:val="20"/>
        <w:vertAlign w:val="baseline"/>
      </w:rPr>
    </w:lvl>
  </w:abstractNum>
  <w:abstractNum w:abstractNumId="5">
    <w:nsid w:val="00000006"/>
    <w:multiLevelType w:val="singleLevel"/>
    <w:tmpl w:val="00000006"/>
    <w:name w:val="WW8Num5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6">
    <w:nsid w:val="00000007"/>
    <w:multiLevelType w:val="singleLevel"/>
    <w:tmpl w:val="00000007"/>
    <w:name w:val="WW8Num63"/>
    <w:lvl w:ilvl="0">
      <w:start w:val="8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mirrorMargins/>
  <w:proofState w:spelling="clean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352AB"/>
    <w:rsid w:val="000203F4"/>
    <w:rsid w:val="00075416"/>
    <w:rsid w:val="000908FC"/>
    <w:rsid w:val="001352AB"/>
    <w:rsid w:val="00242097"/>
    <w:rsid w:val="002B6084"/>
    <w:rsid w:val="00503BCE"/>
    <w:rsid w:val="005066EC"/>
    <w:rsid w:val="005C2210"/>
    <w:rsid w:val="00810E94"/>
    <w:rsid w:val="00814296"/>
    <w:rsid w:val="0098772E"/>
    <w:rsid w:val="00995FDD"/>
    <w:rsid w:val="009B4F1B"/>
    <w:rsid w:val="009B52DC"/>
    <w:rsid w:val="009D75AF"/>
    <w:rsid w:val="00B06407"/>
    <w:rsid w:val="00B636F3"/>
    <w:rsid w:val="00B84A23"/>
    <w:rsid w:val="00BA6CC9"/>
    <w:rsid w:val="00BB39C8"/>
    <w:rsid w:val="00C05ECF"/>
    <w:rsid w:val="00C2541C"/>
    <w:rsid w:val="00C526E9"/>
    <w:rsid w:val="00C643D4"/>
    <w:rsid w:val="00C804B7"/>
    <w:rsid w:val="00D0470D"/>
    <w:rsid w:val="00DB3296"/>
    <w:rsid w:val="00DD760B"/>
    <w:rsid w:val="00EB28ED"/>
    <w:rsid w:val="00EE359F"/>
    <w:rsid w:val="00EF0264"/>
    <w:rsid w:val="00FE4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2097"/>
    <w:pPr>
      <w:widowControl w:val="0"/>
      <w:suppressAutoHyphens/>
    </w:pPr>
    <w:rPr>
      <w:rFonts w:eastAsia="Lucida Sans Unicode"/>
      <w:sz w:val="24"/>
      <w:szCs w:val="24"/>
    </w:rPr>
  </w:style>
  <w:style w:type="paragraph" w:styleId="Nagwek1">
    <w:name w:val="heading 1"/>
    <w:basedOn w:val="Normalny"/>
    <w:next w:val="Normalny"/>
    <w:qFormat/>
    <w:rsid w:val="00242097"/>
    <w:pPr>
      <w:numPr>
        <w:numId w:val="1"/>
      </w:numPr>
      <w:spacing w:before="120" w:after="120"/>
      <w:outlineLvl w:val="0"/>
    </w:pPr>
    <w:rPr>
      <w:b/>
      <w:caps/>
      <w:kern w:val="1"/>
      <w:szCs w:val="20"/>
    </w:rPr>
  </w:style>
  <w:style w:type="paragraph" w:styleId="Nagwek2">
    <w:name w:val="heading 2"/>
    <w:basedOn w:val="Normalny"/>
    <w:next w:val="Normalny"/>
    <w:qFormat/>
    <w:rsid w:val="00242097"/>
    <w:pPr>
      <w:numPr>
        <w:ilvl w:val="1"/>
        <w:numId w:val="1"/>
      </w:numPr>
      <w:spacing w:before="120" w:after="60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rsid w:val="00242097"/>
    <w:pPr>
      <w:numPr>
        <w:ilvl w:val="2"/>
        <w:numId w:val="1"/>
      </w:numPr>
      <w:spacing w:before="60" w:after="60"/>
      <w:outlineLvl w:val="2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01z1">
    <w:name w:val="WW8Num101z1"/>
    <w:rsid w:val="00242097"/>
    <w:rPr>
      <w:rFonts w:ascii="Courier New" w:hAnsi="Courier New" w:cs="Courier New"/>
    </w:rPr>
  </w:style>
  <w:style w:type="character" w:customStyle="1" w:styleId="WW8Num101z3">
    <w:name w:val="WW8Num101z3"/>
    <w:rsid w:val="00242097"/>
    <w:rPr>
      <w:rFonts w:ascii="Symbol" w:hAnsi="Symbol"/>
    </w:rPr>
  </w:style>
  <w:style w:type="character" w:customStyle="1" w:styleId="WW8Num101z4">
    <w:name w:val="WW8Num101z4"/>
    <w:rsid w:val="00242097"/>
    <w:rPr>
      <w:rFonts w:ascii="Times New Roman" w:hAnsi="Times New Roman"/>
      <w:b w:val="0"/>
      <w:i/>
      <w:sz w:val="20"/>
      <w:u w:val="none"/>
    </w:rPr>
  </w:style>
  <w:style w:type="character" w:customStyle="1" w:styleId="WW8Num2z1">
    <w:name w:val="WW8Num2z1"/>
    <w:rsid w:val="00242097"/>
    <w:rPr>
      <w:rFonts w:ascii="Times New Roman" w:hAnsi="Times New Roman"/>
      <w:b/>
      <w:i w:val="0"/>
      <w:sz w:val="20"/>
    </w:rPr>
  </w:style>
  <w:style w:type="character" w:customStyle="1" w:styleId="WW8Num2z3">
    <w:name w:val="WW8Num2z3"/>
    <w:rsid w:val="00242097"/>
    <w:rPr>
      <w:rFonts w:ascii="Times New Roman" w:hAnsi="Times New Roman"/>
      <w:b w:val="0"/>
      <w:i w:val="0"/>
      <w:sz w:val="20"/>
    </w:rPr>
  </w:style>
  <w:style w:type="character" w:customStyle="1" w:styleId="WW8Num2z4">
    <w:name w:val="WW8Num2z4"/>
    <w:rsid w:val="00242097"/>
    <w:rPr>
      <w:rFonts w:ascii="Times New Roman" w:hAnsi="Times New Roman"/>
      <w:b w:val="0"/>
      <w:i/>
      <w:sz w:val="20"/>
      <w:u w:val="none"/>
    </w:rPr>
  </w:style>
  <w:style w:type="character" w:customStyle="1" w:styleId="WW8Num42z0">
    <w:name w:val="WW8Num42z0"/>
    <w:rsid w:val="00242097"/>
    <w:rPr>
      <w:rFonts w:ascii="Times New Roman" w:hAnsi="Times New Roman" w:cs="Times New Roman"/>
    </w:rPr>
  </w:style>
  <w:style w:type="character" w:customStyle="1" w:styleId="WW8Num42z3">
    <w:name w:val="WW8Num42z3"/>
    <w:rsid w:val="00242097"/>
    <w:rPr>
      <w:rFonts w:ascii="Symbol" w:hAnsi="Symbol"/>
    </w:rPr>
  </w:style>
  <w:style w:type="character" w:customStyle="1" w:styleId="WW8Num42z4">
    <w:name w:val="WW8Num42z4"/>
    <w:rsid w:val="00242097"/>
    <w:rPr>
      <w:rFonts w:ascii="Courier New" w:hAnsi="Courier New" w:cs="Courier New"/>
    </w:rPr>
  </w:style>
  <w:style w:type="character" w:customStyle="1" w:styleId="WW8Num42z5">
    <w:name w:val="WW8Num42z5"/>
    <w:rsid w:val="00242097"/>
    <w:rPr>
      <w:rFonts w:ascii="Wingdings" w:hAnsi="Wingdings"/>
    </w:rPr>
  </w:style>
  <w:style w:type="character" w:customStyle="1" w:styleId="WW8Num35z0">
    <w:name w:val="WW8Num35z0"/>
    <w:rsid w:val="00242097"/>
    <w:rPr>
      <w:rFonts w:ascii="Times New Roman" w:hAnsi="Times New Roman"/>
      <w:b w:val="0"/>
      <w:i w:val="0"/>
      <w:caps w:val="0"/>
      <w:smallCaps w:val="0"/>
      <w:strike w:val="0"/>
      <w:dstrike w:val="0"/>
      <w:outline w:val="0"/>
      <w:shadow w:val="0"/>
      <w:vanish w:val="0"/>
      <w:position w:val="0"/>
      <w:sz w:val="20"/>
      <w:vertAlign w:val="baseline"/>
    </w:rPr>
  </w:style>
  <w:style w:type="character" w:customStyle="1" w:styleId="WW8Num51z0">
    <w:name w:val="WW8Num51z0"/>
    <w:rsid w:val="00242097"/>
    <w:rPr>
      <w:rFonts w:ascii="Times New Roman" w:hAnsi="Times New Roman" w:cs="Times New Roman"/>
    </w:rPr>
  </w:style>
  <w:style w:type="paragraph" w:styleId="Tekstpodstawowy">
    <w:name w:val="Body Text"/>
    <w:basedOn w:val="Normalny"/>
    <w:semiHidden/>
    <w:rsid w:val="00242097"/>
    <w:pPr>
      <w:spacing w:after="120"/>
    </w:pPr>
  </w:style>
  <w:style w:type="paragraph" w:customStyle="1" w:styleId="Podpis1">
    <w:name w:val="Podpis1"/>
    <w:basedOn w:val="Normalny"/>
    <w:rsid w:val="00242097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next w:val="Tekstpodstawowy"/>
    <w:semiHidden/>
    <w:rsid w:val="0024209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Nagwek10">
    <w:name w:val="Nagłówek1"/>
    <w:basedOn w:val="Normalny"/>
    <w:next w:val="Tekstpodstawowy"/>
    <w:rsid w:val="0024209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Lista">
    <w:name w:val="List"/>
    <w:basedOn w:val="Tekstpodstawowy"/>
    <w:semiHidden/>
    <w:rsid w:val="00242097"/>
    <w:rPr>
      <w:rFonts w:cs="Tahoma"/>
    </w:rPr>
  </w:style>
  <w:style w:type="paragraph" w:customStyle="1" w:styleId="Zawartotabeli">
    <w:name w:val="Zawartość tabeli"/>
    <w:basedOn w:val="Normalny"/>
    <w:rsid w:val="00242097"/>
    <w:pPr>
      <w:suppressLineNumbers/>
    </w:pPr>
  </w:style>
  <w:style w:type="paragraph" w:customStyle="1" w:styleId="Indeks">
    <w:name w:val="Indeks"/>
    <w:basedOn w:val="Normalny"/>
    <w:rsid w:val="00242097"/>
    <w:pPr>
      <w:suppressLineNumbers/>
    </w:pPr>
    <w:rPr>
      <w:rFonts w:cs="Tahoma"/>
    </w:rPr>
  </w:style>
  <w:style w:type="paragraph" w:customStyle="1" w:styleId="tytuwka">
    <w:name w:val="tytułówka"/>
    <w:basedOn w:val="Normalny"/>
    <w:rsid w:val="00242097"/>
    <w:pPr>
      <w:keepNext/>
      <w:keepLines/>
      <w:suppressLineNumbers/>
      <w:tabs>
        <w:tab w:val="left" w:pos="720"/>
        <w:tab w:val="center" w:pos="4536"/>
        <w:tab w:val="right" w:pos="9072"/>
      </w:tabs>
      <w:jc w:val="center"/>
    </w:pPr>
    <w:rPr>
      <w:sz w:val="28"/>
      <w:szCs w:val="20"/>
    </w:rPr>
  </w:style>
  <w:style w:type="paragraph" w:styleId="Stopka">
    <w:name w:val="footer"/>
    <w:basedOn w:val="Normalny"/>
    <w:link w:val="StopkaZnak"/>
    <w:uiPriority w:val="99"/>
    <w:unhideWhenUsed/>
    <w:rsid w:val="00DB32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3296"/>
    <w:rPr>
      <w:rFonts w:eastAsia="Lucida Sans Unicode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2553</Words>
  <Characters>15321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Sanojca</dc:creator>
  <cp:lastModifiedBy>A</cp:lastModifiedBy>
  <cp:revision>3</cp:revision>
  <cp:lastPrinted>2014-08-07T09:05:00Z</cp:lastPrinted>
  <dcterms:created xsi:type="dcterms:W3CDTF">2016-05-07T12:20:00Z</dcterms:created>
  <dcterms:modified xsi:type="dcterms:W3CDTF">2016-05-09T07:25:00Z</dcterms:modified>
</cp:coreProperties>
</file>