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8B" w:rsidRPr="0053238B" w:rsidRDefault="0053238B" w:rsidP="0053238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Ogłoszenie nr 605651-N-2020 z dnia 2020-11-03 r.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Gmina Otwock: Zadanie I – Przebudowa ul. Jaśminowej na odcinku od ul. Nagietkowej do ul. Tulipanowej Zadanie II – Przebudowa ul. Jagienki na odcinku od ul. Sienkiewicza do ul.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Billewiczówny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Zadanie III – Przebudowa ul. Prusa na odcinku od ul. Żeromskiego do ul. Cybulskiego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br/>
        <w:t>OGŁOSZENIE O ZAMÓWIENIU - Roboty budowlane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Zamieszczanie ogłoszenia:</w:t>
      </w:r>
      <w:r w:rsidRPr="0053238B">
        <w:rPr>
          <w:rFonts w:eastAsia="Times New Roman" w:cstheme="minorHAnsi"/>
          <w:color w:val="000000"/>
          <w:sz w:val="18"/>
          <w:szCs w:val="18"/>
        </w:rPr>
        <w:t> Zamieszczanie obowiązkowe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Ogłoszenie dotyczy:</w:t>
      </w:r>
      <w:r w:rsidRPr="0053238B">
        <w:rPr>
          <w:rFonts w:eastAsia="Times New Roman" w:cstheme="minorHAnsi"/>
          <w:color w:val="000000"/>
          <w:sz w:val="18"/>
          <w:szCs w:val="18"/>
        </w:rPr>
        <w:t> Zamówienia publicznego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Zamówienie dotyczy projektu lub programu współfinansowanego ze środków Unii Europejskiej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Nazwa projektu lub programu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>, nie mniejszy niż 30%, osób zatrudnionych przez zakłady pracy chronionej lub wykonawców albo ich jednostki (w %)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SEKCJA I: ZAMAWIAJĄCY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Postępowanie przeprowadza centralny zamawiający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Postępowanie przeprowadza podmiot, któremu zamawiający powierzył/powierzyli przeprowadzenie postępowania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Informacje na temat podmiotu któremu zamawiający powierzył/powierzyli prowadzenie postępowania: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Postępowanie jest przeprowadzane wspólnie przez zamawiających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Postępowanie jest przeprowadzane wspólnie z zamawiającymi z innych państw członkowskich Unii Europejskiej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Informacje dodatkowe: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I. 1) NAZWA I ADRES: </w:t>
      </w:r>
      <w:r w:rsidRPr="0053238B">
        <w:rPr>
          <w:rFonts w:eastAsia="Times New Roman" w:cstheme="minorHAnsi"/>
          <w:color w:val="000000"/>
          <w:sz w:val="18"/>
          <w:szCs w:val="18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 strony internetowej (URL): www.bip.otwock.pl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 profilu nabywcy: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 strony internetowej pod którym można uzyskać dostęp do narzędzi i urządzeń lub formatów plików, które nie są ogólnie dostępne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I. 2) RODZAJ ZAMAWIAJĄCEGO: </w:t>
      </w:r>
      <w:r w:rsidRPr="0053238B">
        <w:rPr>
          <w:rFonts w:eastAsia="Times New Roman" w:cstheme="minorHAnsi"/>
          <w:color w:val="000000"/>
          <w:sz w:val="18"/>
          <w:szCs w:val="18"/>
        </w:rPr>
        <w:t>Administracja samorządowa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I.3) WSPÓLNE UDZIELANIE ZAMÓWIENIA </w:t>
      </w:r>
      <w:r w:rsidRPr="0053238B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>(jeżeli dotyczy)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I.4) KOMUNIKACJA: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Nieograniczony, pełny i bezpośredni dostęp do dokumentów z postępowania można uzyskać pod adresem (URL)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www.bip.otwock.pl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Adres strony internetowej, na której zamieszczona będzie specyfikacja istotnych warunków zamówienia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www.bip.otwock.pl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Dostęp do dokumentów z postępowania jest ograniczony - więcej informacji można uzyskać pod adresem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Oferty lub wnioski o dopuszczenie do udziału w postępowaniu należy przesyłać: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Elektronicznie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Dopuszczone jest przesłanie ofert lub wniosków o dopuszczenie do udziału w postępowaniu w inny sposób: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Inny sposób: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Wymagane jest przesłanie ofert lub wniosków o dopuszczenie do udziału w postępowaniu w inny sposób: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Inny sposób: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Ofertę należy złożyć w siedzibie Zamawiającego - przy ul. Armii Krajowej 5 w Otwocku, kod 05-400, –budynek B, pok. nr 1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Komunikacja elektroniczna wymaga korzystania z narzędzi i urządzeń lub formatów plików, które nie są ogólnie dostępne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Nieograniczony, pełny, bezpośredni i bezpłatny dostęp do tych narzędzi można uzyskać pod adresem: (URL)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SEKCJA II: PRZEDMIOT ZAMÓWIENIA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II.1) Nazwa nadana zamówieniu przez zamawiającego: </w:t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Zadanie I – Przebudowa ul. Jaśminowej na odcinku od ul. Nagietkowej do ul. Tulipanowej Zadanie II – Przebudowa ul. Jagienki na odcinku od ul. Sienkiewicza do ul.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Billewiczówny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Zadanie III – Przebudowa ul. Prusa na odcinku od ul. Żeromskiego do ul. Cybulskiego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Numer referencyjny: </w:t>
      </w:r>
      <w:r w:rsidRPr="0053238B">
        <w:rPr>
          <w:rFonts w:eastAsia="Times New Roman" w:cstheme="minorHAnsi"/>
          <w:color w:val="000000"/>
          <w:sz w:val="18"/>
          <w:szCs w:val="18"/>
        </w:rPr>
        <w:t>WZP.271.41.2020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Przed wszczęciem postępowania o udzielenie zamówienia przeprowadzono dialog techniczny</w:t>
      </w:r>
    </w:p>
    <w:p w:rsidR="0053238B" w:rsidRPr="0053238B" w:rsidRDefault="0053238B" w:rsidP="0053238B">
      <w:pPr>
        <w:spacing w:after="0" w:line="376" w:lineRule="atLeast"/>
        <w:jc w:val="both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II.2) Rodzaj zamówienia: </w:t>
      </w:r>
      <w:r w:rsidRPr="0053238B">
        <w:rPr>
          <w:rFonts w:eastAsia="Times New Roman" w:cstheme="minorHAnsi"/>
          <w:color w:val="000000"/>
          <w:sz w:val="18"/>
          <w:szCs w:val="18"/>
        </w:rPr>
        <w:t>Roboty budowlane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II.3) Informacja o możliwości składania ofert częściowych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Zamówienie podzielone jest na części: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Oferty lub wnioski o dopuszczenie do udziału w postępowaniu można składać w odniesieniu do: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wszystkich części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Zamawiający zastrzega sobie prawo do udzielenia łącznie następujących części lub grup części: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Maksymalna liczba części zamówienia, na które może zostać udzielone zamówienie jednemu wykonawcy: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II.4) Krótki opis przedmiotu zamówienia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 a w przypadku partnerstwa innowacyjnego - określenie zapotrzebowania na innowacyjny produkt, usługę lub roboty budowlane: </w:t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1.1. Zadanie I – Przebudowa ul. Jaśminowej na odcinku od ul. Nagietkowej do ul. Tulipanowej, Zadanie II – Przebudowa ul. Jagienki na odcinku od ul. Sienkiewicza do ul.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Billewiczówny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, Zadanie III – Przebudowa ul. Prusa na odcinku od ul. Żeromskiego do ul. Cybulskiego. Zakres robót: Wykonanie przedmiotu zadań od I do III zgodnie z dokumentacjami projektowymi z podziałem prac na dwa etapy tj. Etap I: wykonanie robót przygotowawczych z zachowaniem przejezdności danego odcinka i dostępem do posesji mieszkańców w okresie, w którym Wykonawca nie będzie prowadził robót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budowalnych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 Etap II: pozostałe prace budowlane zgodnie z załączoną dokumentacją. Opis przedmiotu zamówienia zadań od I do III określają dokumentacje projektowe. 1.2 Dokumenty wymienione w ust. 1.1 ,specyfikacja istotnych warunków zamówienia oraz oferta przetargowa Wykonawcy stanowią integralną część umowy i przechowywane są w Wydziale Zamówień Publicznych oraz Wydziale Inwestycji. 1.3 Ponadto Wykonawca zobowiązany jest do : 1) wykonanie przedmiotu umowy zgodnie z dokumentacją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projektow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2 i ust. 3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., Zamawiający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wykonanie wszystkich istniejących w terenie wjazdów do posesji z dopasowaniem wysokościowym, 11) ubezpieczenie budowy, 12) wykonanie niezbędnych robót towarzyszących i czynności formalno-prawnych umożliwiających przekazanie wykonanych obiektów do eksploatacji - między innymi odbiorów technicznych, a także sporządzenia kompletnej dokumentacji powykonawczej z zaznaczeniem </w:t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 xml:space="preserve">wprowadzonych zmian, 13) wykonanie wszystkich innych prac nie ujętych w umowie oraz towarzyszących i niezbędnych do prawidłowego wykonania przedmiotu umowy, w tym zabezpieczenie terenu podczas prowadzenia prac oraz uporządkowania terenu w rejonie wykonywanych prac po ich zakończeniu, 14) ewentualna wycinka drzew, 15) wykonanie cięć pielęgnacyjnych drzew i krzewów, 16) uzgodnienie z operatorem dostępu do posesji celem wywozu nieczystości stałych, 17) rekultywacja przyległego terenu. 1.4 Przedmiot zamówienia będzie wykonywany zgodnie z zasadami wiedzy technicznej i sztuki budowlanej, zgodnie z obowiązującymi przepisami, normami oraz na warunkach ustalonych z Wykonawcą na podstawie umowy. Rozliczenie zamówienia zadań od I do III nastąpi w 2021 roku. 1.5 W trakcie przygotowywania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II.5) Główny kod CPV: </w:t>
      </w:r>
      <w:r w:rsidRPr="0053238B">
        <w:rPr>
          <w:rFonts w:eastAsia="Times New Roman" w:cstheme="minorHAnsi"/>
          <w:color w:val="000000"/>
          <w:sz w:val="18"/>
          <w:szCs w:val="18"/>
        </w:rPr>
        <w:t>45111200-0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</w:tblGrid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Kod CPV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45111100-9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45233000-9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45236000-0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45113000-2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45233252-0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45233225-2</w:t>
            </w:r>
          </w:p>
        </w:tc>
      </w:tr>
    </w:tbl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II.6) Całkowita wartość zamówienia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(jeżeli zamawiający podaje informacje o wartości zamówienia)</w:t>
      </w:r>
      <w:r w:rsidRPr="0053238B">
        <w:rPr>
          <w:rFonts w:eastAsia="Times New Roman" w:cstheme="minorHAnsi"/>
          <w:color w:val="000000"/>
          <w:sz w:val="18"/>
          <w:szCs w:val="18"/>
        </w:rPr>
        <w:t>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Wartość bez VAT: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Waluta: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6 i 7 lub w art. 134 ust. 6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3 ustawy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: </w:t>
      </w:r>
      <w:r w:rsidRPr="0053238B">
        <w:rPr>
          <w:rFonts w:eastAsia="Times New Roman" w:cstheme="minorHAnsi"/>
          <w:color w:val="000000"/>
          <w:sz w:val="18"/>
          <w:szCs w:val="18"/>
        </w:rPr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6 lub w art. 134 ust. 6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3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:  Zamawiający przewiduje możliwość udzielenia zamówień, o których mowa w art. 67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6, o wartości netto dla Zadania I do kwoty 100 000,00 zł., dla Zadania II do kwoty 100 000,00 zł., dla Zadania III do kwoty 100 000,00 zł., w zakresie polegającym na powtórzeniu podobnych rodzajowo prac (określonych w punkcie III SIWZ) zgodnych z przedmiotem zamówienia podstawowego, w tym pozostających w zgodności z podstawowym zamierzeniem budowlanym oraz związanym bezpośrednio przez identyfikację zamówienia z realizacją podstawowego zamówienia, na warunkach tożsamych z warunkami zamówienia podstawowego- w zakresie odnoszącym się.</w:t>
      </w:r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II.8) Okres, w którym realizowane będzie zamówienie lub okres, na który została zawarta umowa ramowa lub okres, na 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 xml:space="preserve">który został ustanowiony dynamiczny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system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zakupów: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miesiącach:  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 lub 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dniach:</w:t>
      </w:r>
      <w:r w:rsidRPr="0053238B">
        <w:rPr>
          <w:rFonts w:eastAsia="Times New Roman" w:cstheme="minorHAnsi"/>
          <w:color w:val="000000"/>
          <w:sz w:val="18"/>
          <w:szCs w:val="18"/>
        </w:rPr>
        <w:t> 90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lub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data rozpoczęcia: </w:t>
      </w:r>
      <w:r w:rsidRPr="0053238B">
        <w:rPr>
          <w:rFonts w:eastAsia="Times New Roman" w:cstheme="minorHAnsi"/>
          <w:color w:val="000000"/>
          <w:sz w:val="18"/>
          <w:szCs w:val="18"/>
        </w:rPr>
        <w:t>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 lub 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zakończenia: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II.9) Informacje dodatkowe: </w:t>
      </w:r>
      <w:r w:rsidRPr="0053238B">
        <w:rPr>
          <w:rFonts w:eastAsia="Times New Roman" w:cstheme="minorHAnsi"/>
          <w:color w:val="000000"/>
          <w:sz w:val="18"/>
          <w:szCs w:val="18"/>
        </w:rPr>
        <w:t>Okres, w którym realizowane będzie zamówienie: Zadanie I: etap I – 30.12.2020 r. Etap II –90 dni od daty zgłoszenia przez Wykonawcę rozpoczęcia etapu II Zadanie II: etap I – 30.12.2020 r. Etap II –90 dni od daty zgłoszenia przez Wykonawcę rozpoczęcia etapu II Zadanie III: etap I – 30.12.2020 r. Etap II – 90 dni od daty zgłoszenia przez Wykonawcę rozpoczęcia etapu II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SEKCJA III: INFORMACJE O CHARAKTERZE PRAWNYM, EKONOMICZNYM, FINANSOWYM I TECHNICZNYM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III.1) WARUNKI UDZIAŁU W POSTĘPOWANIU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III.1.1) Kompetencje lub uprawnienia do prowadzenia określonej działalności zawodowej, o ile wynika to z odrębnych przepisów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Określenie warunków: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III.1.2) Sytuacja finansowa lub ekonomiczna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Określenie warunków: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III.1.3) Zdolność techniczna lub zawodowa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Określenie warunków:  Warunek zostanie za spełniony jeżeli Wykonawca wykaże (jednokrotnie– również w przypadku składania ofert na więcej niż jedną część zamówienia), iż dysponuje/będzie dysponował co najmniej 1 osobą, która będzie uczestniczyć w wykonaniu zamówienia na stanowisku: • Kierownik robót – ważne uprawnienia budowlane do kierowania robotami budowlanymi w specjalności drogowej</w:t>
      </w:r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III.2) PODSTAWY WYKLUCZENIA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III.2.1) Podstawy wykluczenia określone w art. 24 ust. 1 ustawy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> Nie Zamawiający przewiduje następujące fakultatywne podstawy wykluczenia: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Oświadczenie o niepodleganiu wykluczeniu oraz spełnianiu warunków udziału w postępowaniu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Oświadczenie o spełnianiu kryteriów selekcji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III.5.1) W ZAKRESIE SPEŁNIANIA WARUNKÓW UDZIAŁU W POSTĘPOWANIU: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III.5.2) W ZAKRESIE KRYTERIÓW SELEKCJI: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III.7) INNE DOKUMENTY NIE WYMIENIONE W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III.3) - III.6)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SEKCJA IV: PROCEDURA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IV.1) OPIS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IV.1.1) Tryb udzielenia zamówienia: </w:t>
      </w:r>
      <w:r w:rsidRPr="0053238B">
        <w:rPr>
          <w:rFonts w:eastAsia="Times New Roman" w:cstheme="minorHAnsi"/>
          <w:color w:val="000000"/>
          <w:sz w:val="18"/>
          <w:szCs w:val="18"/>
        </w:rPr>
        <w:t>Przetarg nieograniczony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IV.1.2) Zamawiający żąda wniesienia wadium: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Informacja na temat wadium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Każdy Wykonawca zobowiązany jest zabezpieczyć swą ofertę wadium w wysokości: Zadanie I (część I): 5 000,00 PLN, Zadanie II (część II): 5 000,00 PLN, Zadanie III (część III): 5 000,00 PLN.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IV.1.3) Przewiduje się udzielenie zaliczek na poczet wykonania zamówienia: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podać informacje na temat udzielania zaliczek: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IV.1.4) Wymaga się złożenia ofert w postaci katalogów elektronicznych lub dołączenia do ofert katalogów elektronicznych: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Dopuszcza się złożenie ofert w postaci katalogów elektronicznych lub dołączenia do ofert katalogów elektronicznych: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IV.1.5.) Wymaga się złożenia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 wariantowej: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Dopuszcza się złożenie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wariantowej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Złożenie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wariantowej dopuszcza się tylko z jednoczesnym złożeniem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zasadniczej: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IV.1.6) Przewidywana liczba wykonawców, którzy zostaną zaproszeni do udziału w postępowaniu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(przetarg ograniczony, negocjacje z ogłoszeniem, dialog konkurencyjny, partnerstwo innowacyjne)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Liczba wykonawców  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Przewidywana minimalna liczba wykonawców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Maksymalna liczba wykonawców  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Kryteria selekcji wykonawców: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IV.1.7) Informacje na temat umowy ramowej lub dynamicznego systemu zakupów: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Umowa ramowa będzie zawarta: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Czy przewiduje się ograniczenie liczby uczestników umowy ramowej: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Przewidziana maksymalna liczba uczestników umowy ramowej: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Zamówienie obejmuje ustanowienie dynamicznego systemu zakupów: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 strony internetowej, na której będą zamieszczone dodatkowe informacje dotyczące dynamicznego systemu zakupów: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 ramach umowy ramowej/dynamicznego systemu zakupów dopuszcza się złożenie ofert w formie katalogów elektronicznych: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>Przewiduje się pobranie ze złożonych katalogów elektronicznych informacji potrzebnych do sporządzenia ofert w ramach umowy ramowej/dynamicznego systemu zakupów: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IV.1.8) Aukcja elektroniczna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Przewidziane jest przeprowadzenie aukcji elektronicznej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(przetarg nieograniczony, przetarg ograniczony, negocjacje z ogłoszeniem) </w:t>
      </w:r>
      <w:r w:rsidRPr="0053238B">
        <w:rPr>
          <w:rFonts w:eastAsia="Times New Roman" w:cstheme="minorHAnsi"/>
          <w:color w:val="000000"/>
          <w:sz w:val="18"/>
          <w:szCs w:val="18"/>
        </w:rPr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podać adres strony internetowej, na której aukcja będzie prowadzona: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Należy wskazać elementy, których wartości będą przedmiotem aukcji elektronicznej: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Przewiduje się ograniczenia co do przedstawionych wartości, wynikające z opisu przedmiotu zamówienia: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podać, które informacje zostaną udostępnione wykonawcom w trakcie aukcji elektronicznej oraz jaki będzie termin ich udostępnienia: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dotyczące przebiegu aukcji elektronicznej: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Jaki jest przewidziany sposób postępowania w toku aukcji elektronicznej i jakie będą warunki, na jakich wykonawcy będą mogli licytować (minimalne wysokości postąpień):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dotyczące wykorzystywanego sprzętu elektronicznego, rozwiązań i specyfikacji technicznych w zakresie połączeń: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Wymagania dotyczące rejestracji i identyfikacji wykonawców w aukcji elektronicznej: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o liczbie etapów aukcji elektronicznej i czasie ich trwania: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>Czas trwania: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Czy wykonawcy, którzy nie złożyli nowych postąpień, zostaną zakwalifikowani do następnego etapu: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Warunki zamknięcia aukcji elektronicznej: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IV.2) KRYTERIA OCENY OFERT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IV.2.1) Kryteria oceny ofert: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58"/>
      </w:tblGrid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Znaczenie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60,00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40,00</w:t>
            </w:r>
          </w:p>
        </w:tc>
      </w:tr>
    </w:tbl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IV.2.3) Zastosowanie procedury, o której mowa w art. 24aa ust. 1 ustawy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 </w:t>
      </w:r>
      <w:r w:rsidRPr="0053238B">
        <w:rPr>
          <w:rFonts w:eastAsia="Times New Roman" w:cstheme="minorHAnsi"/>
          <w:color w:val="000000"/>
          <w:sz w:val="18"/>
          <w:szCs w:val="18"/>
        </w:rPr>
        <w:t>(przetarg nieograniczony)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IV.3) Negocjacje z ogłoszeniem, dialog konkurencyjny, partnerstwo innowacyjne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IV.3.1) Informacje na temat negocjacji z ogłoszeniem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Minimalne wymagania, które muszą spełniać wszystkie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>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Przewidziane jest zastrzeżenie prawa do udzielenia zamówienia na podstawie ofert wstępnych bez przeprowadzenia negocjacji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Przewidziany jest podział negocjacji na etapy w celu ograniczenia liczby ofert: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podać informacje na temat etapów negocjacji (w tym liczbę etapów):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IV.3.2) Informacje na temat dialogu konkurencyjnego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Opis potrzeb i wymagań zamawiającego lub informacja o sposobie uzyskania tego opisu: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Wstępny harmonogram postępowania: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Podział dialogu na etapy w celu ograniczenia liczby rozwiązań: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podać informacje na temat etapów dialogu: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IV.3.3) Informacje na temat partnerstwa innowacyjnego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Elementy opisu przedmiotu zamówienia definiujące minimalne wymagania, którym muszą odpowiadać wszystkie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>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IV.4) Licytacja elektroniczna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Adres strony internetowej, na której będzie prowadzona licytacja elektroniczna: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Adres strony internetowej, na której jest dostępny opis przedmiotu zamówienia w licytacji elektronicznej: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>Wymagania dotyczące rejestracji i identyfikacji wykonawców w licytacji elektronicznej, w tym wymagania techniczne urządzeń informatycznych: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Sposób postępowania w toku licytacji elektronicznej, w tym określenie minimalnych wysokości postąpień: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Informacje o liczbie etapów licytacji elektronicznej i czasie ich trwania: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Czas trwania: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Wykonawcy, którzy nie złożyli nowych postąpień, zostaną zakwalifikowani do następnego etapu: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Termin składania wniosków o dopuszczenie do udziału w licytacji elektronicznej: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Data: godzina: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Termin otwarcia licytacji elektronicznej: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t>Termin i warunki zamknięcia licytacji elektronicznej: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>Istotne dla stron postanowienia, które zostaną wprowadzone do treści zawieranej umowy w sprawie zamówienia publicznego, albo ogólne warunki umowy, albo wzór umowy: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>Wymagania dotyczące zabezpieczenia należytego wykonania umowy: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  <w:t>Informacje dodatkowe: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IV.5) ZMIANA UMOWY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Przewiduje się istotne zmiany postanowień zawartej umowy w stosunku do treści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, na podstawie której dokonano wyboru wykonawcy:</w:t>
      </w:r>
      <w:r w:rsidRPr="0053238B">
        <w:rPr>
          <w:rFonts w:eastAsia="Times New Roman" w:cstheme="minorHAnsi"/>
          <w:color w:val="000000"/>
          <w:sz w:val="18"/>
          <w:szCs w:val="18"/>
        </w:rPr>
        <w:t> Tak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Należy wskazać zakres, charakter zmian oraz warunki wprowadzenia zmian: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1.Zakazuje się istotnych zmian postanowień umowy w stosunku do treści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, na podstawie której dokonano wyboru Wykonawcy, z zastrzeżeniem ust. 2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2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IV.6) INFORMACJE ADMINISTRACYJNE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IV.6.1) Sposób udostępniania informacji o charakterze poufnym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(jeżeli dotyczy):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Środki służące ochronie informacji o charakterze poufnym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IV.6.2) Termin składania ofert lub wniosków o dopuszczenie do udziału w postępowaniu: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Data: 2020-11-18, godzina: 14:00,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Skrócenie terminu składania wniosków, ze względu na pilną potrzebę udzielenia zamówienia (przetarg nieograniczony, przetarg ograniczony, negocjacje z ogłoszeniem):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Wskazać powody: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  <w:t xml:space="preserve">Język lub języki, w jakich mogą być sporządzane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lub wnioski o dopuszczenie do udziału w postępowaniu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&gt;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IV.6.3) Termin związania ofertą: </w:t>
      </w:r>
      <w:r w:rsidRPr="0053238B">
        <w:rPr>
          <w:rFonts w:eastAsia="Times New Roman" w:cstheme="minorHAnsi"/>
          <w:color w:val="000000"/>
          <w:sz w:val="18"/>
          <w:szCs w:val="18"/>
        </w:rPr>
        <w:t>do: okres w dniach: 30 (od ostatecznego terminu składania ofert)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238B">
        <w:rPr>
          <w:rFonts w:eastAsia="Times New Roman" w:cstheme="minorHAnsi"/>
          <w:color w:val="000000"/>
          <w:sz w:val="18"/>
          <w:szCs w:val="18"/>
        </w:rPr>
        <w:t> Nie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IV.6.5) Informacje dodatkowe: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  <w:u w:val="single"/>
        </w:rPr>
        <w:t>ZAŁĄCZNIK I - INFORMACJE DOTYCZĄCE OFERT CZĘŚCIOWYCH</w:t>
      </w: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</w:p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52"/>
        <w:gridCol w:w="612"/>
        <w:gridCol w:w="6571"/>
      </w:tblGrid>
      <w:tr w:rsidR="0053238B" w:rsidRPr="0053238B" w:rsidTr="00532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Zadanie I – Przebudowa ul. Jaśminowej na odcinku od ul. Nagietkowej do ul. Tulipanowej</w:t>
            </w:r>
          </w:p>
        </w:tc>
      </w:tr>
    </w:tbl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1) Krótki opis przedmiotu zamówienia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wymagań)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 a w przypadku partnerstwa innowacyjnego -określenie zapotrzebowania na innowacyjny produkt, usługę lub roboty budowlane:</w:t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2 i ust. 3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.,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Zamaw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1.1. Zadanie I – Przebudowa ul. Jaśminowej na odcinku od ul. Nagietkowej do ul. Tulipanowej, Wykonanie przedmiotu zadania zgodnie z dokumentacją projektową z podziałem prac na dwa etapy tj. Etap I: wykonanie robót przygotowawczych z zachowaniem przejezdności danego odcinka i dostępem do posesji mieszkańców w okresie, w którym Wykonawca nie będzie prowadził robót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budowalnych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 Etap II: pozostałe prace budowlane zgodnie z załączoną dokumentacją. Opis przedmiotu zamówienia dla zadania określa dokumentacja projektowa. 1.2 Dokumenty wymienione w ust. 1.1 ,specyfikacja istotnych warunków zamówienia oraz oferta przetargowa Wykonawcy stanowią integralną część umowy i przechowywane są w Wydziale Zamówień Publicznych oraz Wydziale Inwestycji. 1.3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</w:t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 xml:space="preserve">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wykonanie wszystkich istniejących w terenie wjazdów do posesji z dopasowaniem wysokościowym, 11) ubezpieczenie budowy, 12)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13) wykonanie wszystkich innych prac nie ujętych w umowie oraz towarzyszących i niezbędnych do prawidłowego wykonania przedmiotu umowy, w tym zabezpieczenie terenu podczas prowadzenia prac oraz uporządkowania terenu w rejonie wykonywanych prac po ich zakończeniu, 14) ewentualna wycinka drzew, 15) wykonanie cięć pielęgnacyjnych drzew i krzewów, 16) uzgodnienie z operatorem dostępu do posesji celem wywozu nieczystości stałych, 17) rekultywacja przyległego terenu. 1.4 Przedmiot zamówienia będzie wykonywany zgodnie z zasadami wiedzy technicznej i sztuki budowlanej, zgodnie z obowiązującymi przepisami, normami oraz na warunkach ustalonych z Wykonawcą na podstawie umowy. Rozliczenie zamówienia zadań od I do III nastąpi w 2021 roku. 1.5 W trakcie przygotowywania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iający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2) Wspólny Słownik Zamówień(CPV): </w:t>
      </w:r>
      <w:r w:rsidRPr="0053238B">
        <w:rPr>
          <w:rFonts w:eastAsia="Times New Roman" w:cstheme="minorHAnsi"/>
          <w:color w:val="000000"/>
          <w:sz w:val="18"/>
          <w:szCs w:val="18"/>
        </w:rPr>
        <w:t>45111200-0, 45111100-9, 45233000-9, 45236000-0, 45113000-2, 45233252-0, 45233225-2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3) Wartość części zamówienia(jeżeli zamawiający podaje informacje o wartości zamówienia):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Wartość bez VAT: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Waluta: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4) Czas trwania lub termin wykonania: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miesiącach: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dniach: 90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 rozpoczęcia: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>data zakończenia: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58"/>
      </w:tblGrid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Znaczenie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60,00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40,00</w:t>
            </w:r>
          </w:p>
        </w:tc>
      </w:tr>
    </w:tbl>
    <w:p w:rsidR="0053238B" w:rsidRPr="0053238B" w:rsidRDefault="0053238B" w:rsidP="0053238B">
      <w:pPr>
        <w:spacing w:after="27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6) INFORMACJE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DODATKOWE:</w:t>
      </w:r>
      <w:r w:rsidRPr="0053238B">
        <w:rPr>
          <w:rFonts w:eastAsia="Times New Roman" w:cstheme="minorHAnsi"/>
          <w:color w:val="000000"/>
          <w:sz w:val="18"/>
          <w:szCs w:val="18"/>
        </w:rPr>
        <w:t>CZAS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TRWANIA: Zadanie I: etap I – 30.12.2020 r. Etap II –90 dni od daty zgłoszenia przez Wykonawcę rozpoczęcia etapu II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52"/>
        <w:gridCol w:w="612"/>
        <w:gridCol w:w="6483"/>
      </w:tblGrid>
      <w:tr w:rsidR="0053238B" w:rsidRPr="0053238B" w:rsidTr="00532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 xml:space="preserve">Zadanie II – Przebudowa ul. Jagienki na odcinku od ul. Sienkiewicza do ul. </w:t>
            </w:r>
            <w:proofErr w:type="spellStart"/>
            <w:r w:rsidRPr="0053238B">
              <w:rPr>
                <w:rFonts w:eastAsia="Times New Roman" w:cstheme="minorHAnsi"/>
                <w:sz w:val="18"/>
                <w:szCs w:val="18"/>
              </w:rPr>
              <w:t>Billewiczówny</w:t>
            </w:r>
            <w:proofErr w:type="spellEnd"/>
          </w:p>
        </w:tc>
      </w:tr>
    </w:tbl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1) Krótki opis przedmiotu zamówienia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wymagań)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 a w przypadku partnerstwa innowacyjnego -określenie zapotrzebowania na innowacyjny produkt, usługę lub roboty budowlane:</w:t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2 i ust. 3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., Zamawiający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1.1. Zadanie II – Przebudowa ul. Jagienki na odcinku od ul. Sienkiewicza do ul.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Billewiczówny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, Zakres robót: Wykonanie przedmiotu zamówienia zgodnie z dokumentacją projektową z podziałem prac na dwa etapy tj. Etap I: wykonanie robót przygotowawczych z zachowaniem przejezdności danego odcinka i dostępem do posesji mieszkańców w okresie, w którym Wykonawca nie będzie prowadził robót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budowalnych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 Etap II: pozostałe prace budowlane zgodnie z załączoną dokumentacją. Opis przedmiotu zamówienia określa dokumentacja projektowa. 1.2 Dokumenty wymienione w ust. 1.1 ,specyfikacja istotnych warunków zamówienia oraz oferta przetargowa Wykonawcy stanowią integralną część umowy i przechowywane są w Wydziale Zamówień Publicznych oraz Wydziale Inwestycji. 1.3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</w:t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 xml:space="preserve">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wykonanie wszystkich istniejących w terenie wjazdów do posesji z dopasowaniem wysokościowym, 11) ubezpieczenie budowy, 12)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13) wykonanie wszystkich innych prac nie ujętych w umowie oraz towarzyszących i niezbędnych do prawidłowego wykonania przedmiotu umowy, w tym zabezpieczenie terenu podczas prowadzenia prac oraz uporządkowania terenu w rejonie wykonywanych prac po ich zakończeniu, 14) ewentualna wycinka drzew, 15) wykonanie cięć pielęgnacyjnych drzew i krzewów, 16) uzgodnienie z operatorem dostępu do posesji celem wywozu nieczystości stałych, 17) rekultywacja przyległego terenu. 1.4 Przedmiot zamówienia będzie wykonywany zgodnie z zasadami wiedzy technicznej i sztuki budowlanej, zgodnie z obowiązującymi przepisami, normami oraz na warunkach ustalonych z Wykonawcą na podstawie umowy. Rozliczenie zamówienia zadań od I do III nastąpi w 2021 roku. 1.5 W trakcie przygotowywania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2) Wspólny Słownik Zamówień(CPV): </w:t>
      </w:r>
      <w:r w:rsidRPr="0053238B">
        <w:rPr>
          <w:rFonts w:eastAsia="Times New Roman" w:cstheme="minorHAnsi"/>
          <w:color w:val="000000"/>
          <w:sz w:val="18"/>
          <w:szCs w:val="18"/>
        </w:rPr>
        <w:t>45111200-0, 45111100-9, 45233000-9, 45236000-0, 45113000-2, 45233252-0, 45233225-2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3) Wartość części zamówienia(jeżeli zamawiający podaje informacje o wartości zamówienia):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Wartość bez VAT: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Waluta: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4) Czas trwania lub termin wykonania: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miesiącach: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dniach: 90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 rozpoczęcia: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 zakończenia: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58"/>
      </w:tblGrid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Znaczenie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60,00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40,00</w:t>
            </w:r>
          </w:p>
        </w:tc>
      </w:tr>
    </w:tbl>
    <w:p w:rsidR="0053238B" w:rsidRPr="0053238B" w:rsidRDefault="0053238B" w:rsidP="0053238B">
      <w:pPr>
        <w:spacing w:after="27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6) INFORMACJE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DODATKOWE:</w:t>
      </w:r>
      <w:r w:rsidRPr="0053238B">
        <w:rPr>
          <w:rFonts w:eastAsia="Times New Roman" w:cstheme="minorHAnsi"/>
          <w:color w:val="000000"/>
          <w:sz w:val="18"/>
          <w:szCs w:val="18"/>
        </w:rPr>
        <w:t>CZAS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TRWANIA: Zadanie II: etap I – 30.12.2020 r. Etap II –90 dni od daty zgłoszenia przez Wykonawcę rozpoczęcia etapu II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52"/>
        <w:gridCol w:w="612"/>
        <w:gridCol w:w="6214"/>
      </w:tblGrid>
      <w:tr w:rsidR="0053238B" w:rsidRPr="0053238B" w:rsidTr="00532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b/>
                <w:bCs/>
                <w:sz w:val="18"/>
                <w:szCs w:val="18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Zadanie III – Przebudowa ul. Prusa na odcinku od ul. Żeromskiego do ul. Cybulskiego</w:t>
            </w:r>
          </w:p>
        </w:tc>
      </w:tr>
    </w:tbl>
    <w:p w:rsidR="0053238B" w:rsidRPr="0053238B" w:rsidRDefault="0053238B" w:rsidP="0053238B">
      <w:pPr>
        <w:spacing w:after="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lastRenderedPageBreak/>
        <w:t>1) Krótki opis przedmiotu zamówienia </w:t>
      </w:r>
      <w:r w:rsidRPr="0053238B">
        <w:rPr>
          <w:rFonts w:eastAsia="Times New Roman" w:cstheme="minorHAnsi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wymagań)</w:t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 a w przypadku partnerstwa innowacyjnego -określenie zapotrzebowania na innowacyjny produkt, usługę lub roboty budowlane:</w:t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 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pkt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2 i ust. 3 Ustawy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Pzp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., Zamawiający po przedmiotowym wskazaniu dodaje sformułowanie „lub równoważny”. Wskazanie takie mają jedynie charakter wzorcowy a Zamawiający dopuszcza rozwiązania równoważne opisywanym czyli o parametrach takich samych lub lepszych/nie gorszych w porównaniu z parametrami wzorcowymi przedstawionymi w ww. dokumentacji w zakresie których użyto ww. wskazań czy odniesień. Wykonawca, który powołuje się na rozwiązania równoważne opisywanym przez Zamawiającego, jest obowiązany wykazać, że oferowane przez niego dostawy,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usługi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lub roboty budowlane spełniają wymagania określone przez Zamawiającego. Zamawiający uzna zastosowane przez Wykonawcę rozwiązania za równoważne, gdy spełnią one wymagania o których mowa powyżej.</w:t>
      </w:r>
      <w:r w:rsidRPr="0053238B">
        <w:rPr>
          <w:rFonts w:eastAsia="Times New Roman" w:cstheme="minorHAnsi"/>
          <w:color w:val="000000"/>
          <w:sz w:val="18"/>
          <w:szCs w:val="18"/>
        </w:rPr>
        <w:sym w:font="Symbol" w:char="F0D8"/>
      </w:r>
      <w:r w:rsidRPr="0053238B">
        <w:rPr>
          <w:rFonts w:eastAsia="Times New Roman" w:cstheme="minorHAnsi"/>
          <w:color w:val="000000"/>
          <w:sz w:val="18"/>
          <w:szCs w:val="18"/>
        </w:rPr>
        <w:t xml:space="preserve">1.1. Zadanie III – Przebudowa ul. Prusa na odcinku od ul. Żeromskiego do ul. Cybulskiego. Zakres robót: Wykonanie przedmiotu zamówienia zgodnie z dokumentacją projektową z podziałem prac na dwa etapy tj. Etap I: wykonanie robót przygotowawczych z zachowaniem przejezdności danego odcinka i dostępem do posesji mieszkańców w okresie, w którym Wykonawca nie będzie prowadził robót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budowalnych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. Etap II: pozostałe prace budowlane zgodnie z załączoną dokumentacją. Opis przedmiotu zamówienia określa dokumentacja projektowa. 1.2 Dokumenty wymienione w ust. 1.1 ,specyfikacja istotnych warunków zamówienia oraz oferta przetargowa Wykonawcy stanowią integralną część umowy i przechowywane są w Wydziale Zamówień Publicznych oraz Wydziale Inwestycji. 1.3 Ponadto Wykonawca zobowiązany jest do : 1) wykonanie przedmiotu umowy zgodnie z dokumentacją projektową pod nadzorem osoby posiadającej stosowne uprawnienia budowlane, 2) ewentualna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wykonanie wszystkich istniejących w terenie wjazdów do posesji z dopasowaniem wysokościowym, 11) ubezpieczenie budowy, 12)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13) wykonanie wszystkich innych prac nie ujętych w umowie oraz towarzyszących i niezbędnych do prawidłowego wykonania przedmiotu umowy, w tym zabezpieczenie terenu podczas prowadzenia prac oraz uporządkowania terenu w rejonie wykonywanych prac po ich zakończeniu, 14) ewentualna wycinka drzew, 15) wykonanie cięć pielęgnacyjnych drzew i krzewów, 16) uzgodnienie z operatorem dostępu do posesji celem </w:t>
      </w:r>
      <w:r w:rsidRPr="0053238B">
        <w:rPr>
          <w:rFonts w:eastAsia="Times New Roman" w:cstheme="minorHAnsi"/>
          <w:color w:val="000000"/>
          <w:sz w:val="18"/>
          <w:szCs w:val="18"/>
        </w:rPr>
        <w:lastRenderedPageBreak/>
        <w:t xml:space="preserve">wywozu nieczystości stałych, 17) rekultywacja przyległego terenu. 1.4 Przedmiot zamówienia będzie wykonywany zgodnie z zasadami wiedzy technicznej i sztuki budowlanej, zgodnie z obowiązującymi przepisami, normami oraz na warunkach ustalonych z Wykonawcą na podstawie umowy. Rozliczenie zamówienia zadań od I do III nastąpi w 2021 roku. 1.5 W trakcie przygotowywania </w:t>
      </w:r>
      <w:proofErr w:type="spellStart"/>
      <w:r w:rsidRPr="0053238B">
        <w:rPr>
          <w:rFonts w:eastAsia="Times New Roman" w:cstheme="minorHAnsi"/>
          <w:color w:val="000000"/>
          <w:sz w:val="18"/>
          <w:szCs w:val="18"/>
        </w:rPr>
        <w:t>oferty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Wykonawca winien dokonać wizji lokalnej na terenie prowadzenia przyszłych prac, wszelkie niezgodności projektu ze stanem istniejącym są ryzykiem Wykonawcy i nie są podstawą do roszczeń o dodatkowe koszty. 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2) Wspólny Słownik Zamówień(CPV): </w:t>
      </w:r>
      <w:r w:rsidRPr="0053238B">
        <w:rPr>
          <w:rFonts w:eastAsia="Times New Roman" w:cstheme="minorHAnsi"/>
          <w:color w:val="000000"/>
          <w:sz w:val="18"/>
          <w:szCs w:val="18"/>
        </w:rPr>
        <w:t>45111200-0, 45111100-9, 45233000-9, 45236000-0, 45113000-2, 45233252-0, 45233225-2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3) Wartość części zamówienia(jeżeli zamawiający podaje informacje o wartości zamówienia):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Wartość bez VAT: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Waluta: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4) Czas trwania lub termin wykonania: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miesiącach: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okres w dniach: 90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 rozpoczęcia: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  <w:t>data zakończenia: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58"/>
      </w:tblGrid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Znaczenie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60,00</w:t>
            </w:r>
          </w:p>
        </w:tc>
      </w:tr>
      <w:tr w:rsidR="0053238B" w:rsidRPr="0053238B" w:rsidTr="00532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38B" w:rsidRPr="0053238B" w:rsidRDefault="0053238B" w:rsidP="0053238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38B">
              <w:rPr>
                <w:rFonts w:eastAsia="Times New Roman" w:cstheme="minorHAnsi"/>
                <w:sz w:val="18"/>
                <w:szCs w:val="18"/>
              </w:rPr>
              <w:t>40,00</w:t>
            </w:r>
          </w:p>
        </w:tc>
      </w:tr>
    </w:tbl>
    <w:p w:rsidR="0053238B" w:rsidRPr="0053238B" w:rsidRDefault="0053238B" w:rsidP="0053238B">
      <w:pPr>
        <w:spacing w:after="270" w:line="376" w:lineRule="atLeast"/>
        <w:rPr>
          <w:rFonts w:eastAsia="Times New Roman" w:cstheme="minorHAnsi"/>
          <w:color w:val="000000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 xml:space="preserve">6) INFORMACJE </w:t>
      </w:r>
      <w:proofErr w:type="spellStart"/>
      <w:r w:rsidRPr="0053238B">
        <w:rPr>
          <w:rFonts w:eastAsia="Times New Roman" w:cstheme="minorHAnsi"/>
          <w:b/>
          <w:bCs/>
          <w:color w:val="000000"/>
          <w:sz w:val="18"/>
          <w:szCs w:val="18"/>
        </w:rPr>
        <w:t>DODATKOWE:</w:t>
      </w:r>
      <w:r w:rsidRPr="0053238B">
        <w:rPr>
          <w:rFonts w:eastAsia="Times New Roman" w:cstheme="minorHAnsi"/>
          <w:color w:val="000000"/>
          <w:sz w:val="18"/>
          <w:szCs w:val="18"/>
        </w:rPr>
        <w:t>CZAS</w:t>
      </w:r>
      <w:proofErr w:type="spellEnd"/>
      <w:r w:rsidRPr="0053238B">
        <w:rPr>
          <w:rFonts w:eastAsia="Times New Roman" w:cstheme="minorHAnsi"/>
          <w:color w:val="000000"/>
          <w:sz w:val="18"/>
          <w:szCs w:val="18"/>
        </w:rPr>
        <w:t xml:space="preserve"> TRWANIA: Zadanie III: etap I – 30.12.2020 r. Etap II – 90 dni od daty zgłoszenia przez Wykonawcę rozpoczęcia etapu II</w:t>
      </w: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53238B" w:rsidRPr="0053238B" w:rsidRDefault="0053238B" w:rsidP="0053238B">
      <w:pPr>
        <w:spacing w:after="270" w:line="376" w:lineRule="atLeast"/>
        <w:rPr>
          <w:rFonts w:eastAsia="Times New Roman" w:cstheme="minorHAnsi"/>
          <w:color w:val="000000"/>
          <w:sz w:val="18"/>
          <w:szCs w:val="18"/>
        </w:rPr>
      </w:pPr>
    </w:p>
    <w:p w:rsidR="0053238B" w:rsidRPr="0053238B" w:rsidRDefault="0053238B" w:rsidP="0053238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3238B">
        <w:rPr>
          <w:rFonts w:eastAsia="Times New Roman" w:cstheme="minorHAnsi"/>
          <w:color w:val="000000"/>
          <w:sz w:val="18"/>
          <w:szCs w:val="18"/>
        </w:rPr>
        <w:br/>
      </w:r>
    </w:p>
    <w:p w:rsidR="00000000" w:rsidRPr="0053238B" w:rsidRDefault="0053238B">
      <w:pPr>
        <w:rPr>
          <w:rFonts w:cstheme="minorHAnsi"/>
          <w:sz w:val="18"/>
          <w:szCs w:val="18"/>
        </w:rPr>
      </w:pPr>
    </w:p>
    <w:sectPr w:rsidR="00000000" w:rsidRPr="0053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3238B"/>
    <w:rsid w:val="005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5670</Words>
  <Characters>34023</Characters>
  <Application>Microsoft Office Word</Application>
  <DocSecurity>0</DocSecurity>
  <Lines>283</Lines>
  <Paragraphs>79</Paragraphs>
  <ScaleCrop>false</ScaleCrop>
  <Company/>
  <LinksUpToDate>false</LinksUpToDate>
  <CharactersWithSpaces>39614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2020-11-03T12:59:00Z</dcterms:created>
  <dcterms:modified xsi:type="dcterms:W3CDTF">2020-11-03T12:59:00Z</dcterms:modified>
</cp:coreProperties>
</file>